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0F" w:rsidRPr="0010270F" w:rsidRDefault="0010270F" w:rsidP="0010270F">
      <w:pPr>
        <w:pStyle w:val="a4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УДК 515.2:614.86 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ОПТИМИЗАЦИЯ ЛЕКАРСТВЕННОГО ОБЕСПЕЧЕНИЯ ПОСТРАДАВШИХ </w:t>
      </w:r>
      <w:r w:rsidRPr="0010270F">
        <w:rPr>
          <w:rFonts w:ascii="Times New Roman" w:hAnsi="Times New Roman"/>
          <w:sz w:val="24"/>
        </w:rPr>
        <w:br/>
      </w:r>
      <w:proofErr w:type="gramStart"/>
      <w:r w:rsidRPr="0010270F">
        <w:rPr>
          <w:rFonts w:ascii="Times New Roman" w:hAnsi="Times New Roman"/>
          <w:sz w:val="24"/>
        </w:rPr>
        <w:t>ПРИ ДОРОЖНО</w:t>
      </w:r>
      <w:proofErr w:type="gramEnd"/>
      <w:r w:rsidRPr="0010270F">
        <w:rPr>
          <w:rFonts w:ascii="Times New Roman" w:hAnsi="Times New Roman"/>
          <w:sz w:val="24"/>
        </w:rPr>
        <w:t>­ТРАНСПОРТНЫХ ПРОИСШЕСТВИЯХ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>© 2018 г. О. А. Мельникова, О. В. Киршина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«Уральский государственный медицинский университет» Министерства здравоохранения Российской Федерации, г. Екатеринбург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Проблема </w:t>
      </w:r>
      <w:proofErr w:type="spellStart"/>
      <w:r w:rsidRPr="0010270F">
        <w:rPr>
          <w:rFonts w:ascii="Times New Roman" w:hAnsi="Times New Roman"/>
          <w:w w:val="100"/>
          <w:sz w:val="24"/>
        </w:rPr>
        <w:t>дорожно­транспортного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травматизма относится к числу приоритетных социальных, медицинских и технологических проблем во всем мире. Своевременность оказания медицинской помощи имеет большое социальное и экономическое значение. </w:t>
      </w:r>
      <w:r w:rsidRPr="0010270F">
        <w:rPr>
          <w:rFonts w:ascii="Times New Roman" w:hAnsi="Times New Roman"/>
          <w:w w:val="100"/>
          <w:sz w:val="24"/>
        </w:rPr>
        <w:br/>
        <w:t xml:space="preserve">За последние годы всё большее внимание уделяется вопросам развития и совершенствования лекарственного обеспечения, без которого невозможно спасение жизни пострадавших в </w:t>
      </w:r>
      <w:proofErr w:type="spellStart"/>
      <w:r w:rsidRPr="0010270F">
        <w:rPr>
          <w:rFonts w:ascii="Times New Roman" w:hAnsi="Times New Roman"/>
          <w:w w:val="100"/>
          <w:sz w:val="24"/>
        </w:rPr>
        <w:t>дорожно­транспортных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происшествиях (ДТП). </w:t>
      </w:r>
      <w:r w:rsidRPr="0010270F">
        <w:rPr>
          <w:rFonts w:ascii="Times New Roman" w:hAnsi="Times New Roman"/>
          <w:i/>
          <w:iCs/>
          <w:w w:val="100"/>
          <w:sz w:val="24"/>
        </w:rPr>
        <w:t>Цель</w:t>
      </w:r>
      <w:r w:rsidRPr="0010270F">
        <w:rPr>
          <w:rFonts w:ascii="Times New Roman" w:hAnsi="Times New Roman"/>
          <w:w w:val="100"/>
          <w:sz w:val="24"/>
        </w:rPr>
        <w:t xml:space="preserve"> нашей работы – разработка новых подходов к определению потребности и созданию рационального перечня лекарственных препаратов (ЛП) для оказания скорой медицинской помощи пострадавшим при ДТП. </w:t>
      </w:r>
      <w:r w:rsidRPr="0010270F">
        <w:rPr>
          <w:rFonts w:ascii="Times New Roman" w:hAnsi="Times New Roman"/>
          <w:i/>
          <w:iCs/>
          <w:w w:val="100"/>
          <w:sz w:val="24"/>
        </w:rPr>
        <w:t>Методы</w:t>
      </w:r>
      <w:r w:rsidRPr="0010270F">
        <w:rPr>
          <w:rFonts w:ascii="Times New Roman" w:hAnsi="Times New Roman"/>
          <w:w w:val="100"/>
          <w:sz w:val="24"/>
        </w:rPr>
        <w:t xml:space="preserve">. Инструментом визуализации, позволяющим решить поставленную задачу, является разработка </w:t>
      </w:r>
      <w:proofErr w:type="spellStart"/>
      <w:r w:rsidRPr="0010270F">
        <w:rPr>
          <w:rFonts w:ascii="Times New Roman" w:hAnsi="Times New Roman"/>
          <w:w w:val="100"/>
          <w:sz w:val="24"/>
        </w:rPr>
        <w:t>интеллект­карты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«Лекарственное обеспечение пострадавших в ДТП», которая дает возможность систематизировать и обобщить большой </w:t>
      </w:r>
      <w:proofErr w:type="spellStart"/>
      <w:r w:rsidRPr="0010270F">
        <w:rPr>
          <w:rFonts w:ascii="Times New Roman" w:hAnsi="Times New Roman"/>
          <w:w w:val="100"/>
          <w:sz w:val="24"/>
        </w:rPr>
        <w:t>контент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исследований, связанных с планированием и определением потребности, в итоге повышается эффективность расходования финансовых средств, сокращается время на систематизацию лекарственных препаратов и анализ медицинских стандартов.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10270F">
        <w:rPr>
          <w:rFonts w:ascii="Times New Roman" w:hAnsi="Times New Roman"/>
          <w:w w:val="100"/>
          <w:sz w:val="24"/>
        </w:rPr>
        <w:t xml:space="preserve">. Построена </w:t>
      </w:r>
      <w:proofErr w:type="spellStart"/>
      <w:r w:rsidRPr="0010270F">
        <w:rPr>
          <w:rFonts w:ascii="Times New Roman" w:hAnsi="Times New Roman"/>
          <w:w w:val="100"/>
          <w:sz w:val="24"/>
        </w:rPr>
        <w:t>интеллект­карта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состоящая из четырех этапов: изучения состояния проблемы организации медицинской помощи пострадавшим в ДТП, анализа рационального использования ЛП при оказании скорой медицинской помощи, рационального выбора номенклатуры ЛП, разработки методики расчёта потребности в необходимых ЛП и финансовых средствах. </w:t>
      </w:r>
      <w:r w:rsidRPr="0010270F">
        <w:rPr>
          <w:rFonts w:ascii="Times New Roman" w:hAnsi="Times New Roman"/>
          <w:i/>
          <w:iCs/>
          <w:w w:val="100"/>
          <w:sz w:val="24"/>
        </w:rPr>
        <w:t>Выводы</w:t>
      </w:r>
      <w:r w:rsidRPr="0010270F">
        <w:rPr>
          <w:rFonts w:ascii="Times New Roman" w:hAnsi="Times New Roman"/>
          <w:w w:val="100"/>
          <w:sz w:val="24"/>
        </w:rPr>
        <w:t xml:space="preserve">. Результаты построения </w:t>
      </w:r>
      <w:proofErr w:type="spellStart"/>
      <w:r w:rsidRPr="0010270F">
        <w:rPr>
          <w:rFonts w:ascii="Times New Roman" w:hAnsi="Times New Roman"/>
          <w:w w:val="100"/>
          <w:sz w:val="24"/>
        </w:rPr>
        <w:t>интеллект­карты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указали на обязательность и актуальность создания нового перечня ЛП, регламентированного лекарственного обеспечения пострадавших при ДТП. Предложены организационные шаги и критерии работы со стандартами оказания скорой медицинской помощи, расчёта потребности необходимых лекарственных препаратов. 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дорожно­транспортные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происшествия, лекарственное обеспечение, потребность, </w:t>
      </w:r>
      <w:proofErr w:type="spellStart"/>
      <w:r w:rsidRPr="0010270F">
        <w:rPr>
          <w:rFonts w:ascii="Times New Roman" w:hAnsi="Times New Roman"/>
          <w:w w:val="100"/>
          <w:sz w:val="24"/>
        </w:rPr>
        <w:t>интеллект­карта</w:t>
      </w:r>
      <w:proofErr w:type="spellEnd"/>
    </w:p>
    <w:p w:rsidR="0010270F" w:rsidRPr="0010270F" w:rsidRDefault="0010270F" w:rsidP="0010270F">
      <w:pPr>
        <w:pStyle w:val="a3"/>
        <w:rPr>
          <w:rFonts w:ascii="Times New Roman" w:hAnsi="Times New Roman"/>
          <w:sz w:val="24"/>
        </w:rPr>
      </w:pPr>
    </w:p>
    <w:p w:rsidR="0010270F" w:rsidRPr="0010270F" w:rsidRDefault="0010270F" w:rsidP="0010270F">
      <w:pPr>
        <w:rPr>
          <w:rFonts w:ascii="Times New Roman" w:hAnsi="Times New Roman"/>
          <w:sz w:val="24"/>
        </w:rPr>
      </w:pPr>
    </w:p>
    <w:p w:rsidR="0010270F" w:rsidRPr="0010270F" w:rsidRDefault="0010270F" w:rsidP="0010270F">
      <w:pPr>
        <w:pStyle w:val="a4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УДК 613.632.2/.634+615.9 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оценка токсичности и потенциальной опасности наноЧАСТИЦ </w:t>
      </w:r>
      <w:r w:rsidRPr="0010270F">
        <w:rPr>
          <w:rFonts w:ascii="Times New Roman" w:hAnsi="Times New Roman"/>
          <w:sz w:val="24"/>
        </w:rPr>
        <w:br/>
        <w:t>оксида алюминия для здоровья человека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</w:t>
      </w:r>
      <w:r w:rsidRPr="0010270F">
        <w:rPr>
          <w:rFonts w:ascii="Times New Roman" w:hAnsi="Times New Roman"/>
          <w:vertAlign w:val="superscript"/>
        </w:rPr>
        <w:t>1</w:t>
      </w:r>
      <w:r w:rsidRPr="0010270F">
        <w:rPr>
          <w:rFonts w:ascii="Times New Roman" w:hAnsi="Times New Roman"/>
        </w:rPr>
        <w:t xml:space="preserve">Н. В. Зайцева, </w:t>
      </w:r>
      <w:r w:rsidRPr="0010270F">
        <w:rPr>
          <w:rFonts w:ascii="Times New Roman" w:hAnsi="Times New Roman"/>
          <w:vertAlign w:val="superscript"/>
        </w:rPr>
        <w:t>1­3</w:t>
      </w:r>
      <w:r w:rsidRPr="0010270F">
        <w:rPr>
          <w:rFonts w:ascii="Times New Roman" w:hAnsi="Times New Roman"/>
        </w:rPr>
        <w:t xml:space="preserve">М. А. Землянова, </w:t>
      </w:r>
      <w:r w:rsidRPr="0010270F">
        <w:rPr>
          <w:rFonts w:ascii="Times New Roman" w:hAnsi="Times New Roman"/>
          <w:vertAlign w:val="superscript"/>
        </w:rPr>
        <w:t>1, 2</w:t>
      </w:r>
      <w:r w:rsidRPr="0010270F">
        <w:rPr>
          <w:rFonts w:ascii="Times New Roman" w:hAnsi="Times New Roman"/>
        </w:rPr>
        <w:t xml:space="preserve">М. С. </w:t>
      </w:r>
      <w:proofErr w:type="spellStart"/>
      <w:r w:rsidRPr="0010270F">
        <w:rPr>
          <w:rFonts w:ascii="Times New Roman" w:hAnsi="Times New Roman"/>
        </w:rPr>
        <w:t>Степанков</w:t>
      </w:r>
      <w:proofErr w:type="spellEnd"/>
      <w:r w:rsidRPr="0010270F">
        <w:rPr>
          <w:rFonts w:ascii="Times New Roman" w:hAnsi="Times New Roman"/>
        </w:rPr>
        <w:t xml:space="preserve">, </w:t>
      </w:r>
      <w:r w:rsidRPr="0010270F">
        <w:rPr>
          <w:rFonts w:ascii="Times New Roman" w:hAnsi="Times New Roman"/>
          <w:vertAlign w:val="superscript"/>
        </w:rPr>
        <w:t>2, 3</w:t>
      </w:r>
      <w:r w:rsidRPr="0010270F">
        <w:rPr>
          <w:rFonts w:ascii="Times New Roman" w:hAnsi="Times New Roman"/>
        </w:rPr>
        <w:t>А. М. Игнатова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  <w:vertAlign w:val="superscript"/>
        </w:rPr>
        <w:t>1</w:t>
      </w:r>
      <w:r w:rsidRPr="0010270F">
        <w:rPr>
          <w:rFonts w:ascii="Times New Roman" w:hAnsi="Times New Roman"/>
          <w:w w:val="100"/>
          <w:sz w:val="24"/>
        </w:rPr>
        <w:t xml:space="preserve">ФБУН «Федеральный научный центр </w:t>
      </w:r>
      <w:proofErr w:type="spellStart"/>
      <w:r w:rsidRPr="0010270F">
        <w:rPr>
          <w:rFonts w:ascii="Times New Roman" w:hAnsi="Times New Roman"/>
          <w:w w:val="100"/>
          <w:sz w:val="24"/>
        </w:rPr>
        <w:t>медико­профилактических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технологий управления рисками здоровью </w:t>
      </w:r>
      <w:r w:rsidRPr="0010270F">
        <w:rPr>
          <w:rFonts w:ascii="Times New Roman" w:hAnsi="Times New Roman"/>
          <w:w w:val="100"/>
          <w:sz w:val="24"/>
        </w:rPr>
        <w:br/>
        <w:t xml:space="preserve">населения», г. Пермь; </w:t>
      </w:r>
      <w:r w:rsidRPr="0010270F">
        <w:rPr>
          <w:rFonts w:ascii="Times New Roman" w:hAnsi="Times New Roman"/>
          <w:w w:val="100"/>
          <w:sz w:val="24"/>
          <w:vertAlign w:val="superscript"/>
        </w:rPr>
        <w:t>2</w:t>
      </w:r>
      <w:r w:rsidRPr="0010270F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</w:t>
      </w:r>
      <w:r w:rsidRPr="0010270F">
        <w:rPr>
          <w:rFonts w:ascii="Times New Roman" w:hAnsi="Times New Roman"/>
          <w:w w:val="100"/>
          <w:sz w:val="24"/>
          <w:vertAlign w:val="superscript"/>
        </w:rPr>
        <w:t xml:space="preserve"> </w:t>
      </w:r>
      <w:r w:rsidRPr="0010270F">
        <w:rPr>
          <w:rFonts w:ascii="Times New Roman" w:hAnsi="Times New Roman"/>
          <w:w w:val="100"/>
          <w:sz w:val="24"/>
        </w:rPr>
        <w:t xml:space="preserve">Пермский государственный национальный </w:t>
      </w:r>
      <w:r w:rsidRPr="0010270F">
        <w:rPr>
          <w:rFonts w:ascii="Times New Roman" w:hAnsi="Times New Roman"/>
          <w:w w:val="100"/>
          <w:sz w:val="24"/>
        </w:rPr>
        <w:lastRenderedPageBreak/>
        <w:t xml:space="preserve">исследовательский университет», г. Пермь; </w:t>
      </w:r>
      <w:r w:rsidRPr="0010270F">
        <w:rPr>
          <w:rFonts w:ascii="Times New Roman" w:hAnsi="Times New Roman"/>
          <w:w w:val="100"/>
          <w:sz w:val="24"/>
          <w:vertAlign w:val="superscript"/>
        </w:rPr>
        <w:t>3</w:t>
      </w:r>
      <w:r w:rsidRPr="0010270F">
        <w:rPr>
          <w:rFonts w:ascii="Times New Roman" w:hAnsi="Times New Roman"/>
          <w:w w:val="100"/>
          <w:sz w:val="24"/>
        </w:rPr>
        <w:t>ФГБОУ ВО «</w:t>
      </w:r>
      <w:r w:rsidRPr="0010270F">
        <w:rPr>
          <w:rFonts w:ascii="Times New Roman" w:hAnsi="Times New Roman"/>
          <w:w w:val="100"/>
          <w:sz w:val="24"/>
          <w:vertAlign w:val="superscript"/>
        </w:rPr>
        <w:t xml:space="preserve"> </w:t>
      </w:r>
      <w:r w:rsidRPr="0010270F">
        <w:rPr>
          <w:rFonts w:ascii="Times New Roman" w:hAnsi="Times New Roman"/>
          <w:w w:val="100"/>
          <w:sz w:val="24"/>
        </w:rPr>
        <w:t>Пермский национальный исследовательский политехнический университет», г. Пермь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i/>
          <w:iCs/>
          <w:w w:val="100"/>
          <w:sz w:val="24"/>
        </w:rPr>
        <w:t>Цель</w:t>
      </w:r>
      <w:r w:rsidRPr="0010270F">
        <w:rPr>
          <w:rFonts w:ascii="Times New Roman" w:hAnsi="Times New Roman"/>
          <w:w w:val="100"/>
          <w:sz w:val="24"/>
        </w:rPr>
        <w:t xml:space="preserve"> работы – прогнозирование токсичности и оценка потенциальной опасности биологического действия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наночастиц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оксида алюминия для здоровья человека. </w:t>
      </w:r>
      <w:r w:rsidRPr="0010270F">
        <w:rPr>
          <w:rFonts w:ascii="Times New Roman" w:hAnsi="Times New Roman"/>
          <w:i/>
          <w:iCs/>
          <w:w w:val="100"/>
          <w:sz w:val="24"/>
        </w:rPr>
        <w:t>Методы</w:t>
      </w:r>
      <w:r w:rsidRPr="0010270F">
        <w:rPr>
          <w:rFonts w:ascii="Times New Roman" w:hAnsi="Times New Roman"/>
          <w:w w:val="100"/>
          <w:sz w:val="24"/>
        </w:rPr>
        <w:t xml:space="preserve">. Прогнозирование токсичности и оценка потенциальной опасности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наночастиц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выполнена на основании </w:t>
      </w:r>
      <w:proofErr w:type="spellStart"/>
      <w:r w:rsidRPr="0010270F">
        <w:rPr>
          <w:rFonts w:ascii="Times New Roman" w:hAnsi="Times New Roman"/>
          <w:w w:val="100"/>
          <w:sz w:val="24"/>
        </w:rPr>
        <w:t>прогнозно­аналитического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моделирования комплекса показателей, характеризующих </w:t>
      </w:r>
      <w:proofErr w:type="spellStart"/>
      <w:proofErr w:type="gramStart"/>
      <w:r w:rsidRPr="0010270F">
        <w:rPr>
          <w:rFonts w:ascii="Times New Roman" w:hAnsi="Times New Roman"/>
          <w:w w:val="100"/>
          <w:sz w:val="24"/>
        </w:rPr>
        <w:t>физико­химические</w:t>
      </w:r>
      <w:proofErr w:type="spellEnd"/>
      <w:proofErr w:type="gramEnd"/>
      <w:r w:rsidRPr="0010270F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10270F">
        <w:rPr>
          <w:rFonts w:ascii="Times New Roman" w:hAnsi="Times New Roman"/>
          <w:w w:val="100"/>
          <w:sz w:val="24"/>
        </w:rPr>
        <w:t>молекулярно­биологические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биохимические, цитологические и экологические свойства с расчётом коэффициента опасности (D) и коэффициента неполноты оценки данных (U)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наноразмерного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оксида алюминия. Собственные исследования по установлению размера и формы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наноматериала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выполнены методом динамического лазерного светорассеяния и методом сканирующей электронной микроскопии, удельная площадь поверхности определена методом </w:t>
      </w:r>
      <w:proofErr w:type="spellStart"/>
      <w:r w:rsidRPr="0010270F">
        <w:rPr>
          <w:rFonts w:ascii="Times New Roman" w:hAnsi="Times New Roman"/>
          <w:w w:val="100"/>
          <w:sz w:val="24"/>
        </w:rPr>
        <w:t>Брунауэра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10270F">
        <w:rPr>
          <w:rFonts w:ascii="Times New Roman" w:hAnsi="Times New Roman"/>
          <w:w w:val="100"/>
          <w:sz w:val="24"/>
        </w:rPr>
        <w:t>Эммета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Тейлора.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10270F">
        <w:rPr>
          <w:rFonts w:ascii="Times New Roman" w:hAnsi="Times New Roman"/>
          <w:w w:val="100"/>
          <w:sz w:val="24"/>
        </w:rPr>
        <w:t xml:space="preserve">. Анализируемые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наночастицы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оксида алюминия имеют размер преимущественно 30–40 нм, удельную площадь поверхности 113 м</w:t>
      </w:r>
      <w:proofErr w:type="gramStart"/>
      <w:r w:rsidRPr="0010270F">
        <w:rPr>
          <w:rFonts w:ascii="Times New Roman" w:hAnsi="Times New Roman"/>
          <w:w w:val="100"/>
          <w:sz w:val="24"/>
          <w:vertAlign w:val="superscript"/>
        </w:rPr>
        <w:t>2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/г, нерастворимы в воде, </w:t>
      </w:r>
      <w:proofErr w:type="spellStart"/>
      <w:r w:rsidRPr="0010270F">
        <w:rPr>
          <w:rFonts w:ascii="Times New Roman" w:hAnsi="Times New Roman"/>
          <w:w w:val="100"/>
          <w:sz w:val="24"/>
        </w:rPr>
        <w:t>супергидрофобны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обладают эффективным положительным зарядом. Способны генерировать активные формы кислорода, повреждать ДНК, нарушать экспрессию белков, </w:t>
      </w:r>
      <w:proofErr w:type="spellStart"/>
      <w:r w:rsidRPr="0010270F">
        <w:rPr>
          <w:rFonts w:ascii="Times New Roman" w:hAnsi="Times New Roman"/>
          <w:w w:val="100"/>
          <w:sz w:val="24"/>
        </w:rPr>
        <w:t>деполяризовывать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клеточную мембрану, вызывать морфологические изменения и гибель клеток, нарушать </w:t>
      </w:r>
      <w:proofErr w:type="spellStart"/>
      <w:r w:rsidRPr="0010270F">
        <w:rPr>
          <w:rFonts w:ascii="Times New Roman" w:hAnsi="Times New Roman"/>
          <w:w w:val="100"/>
          <w:sz w:val="24"/>
        </w:rPr>
        <w:t>митохондриальный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метаболизм, влиять на </w:t>
      </w:r>
      <w:proofErr w:type="spellStart"/>
      <w:r w:rsidRPr="0010270F">
        <w:rPr>
          <w:rFonts w:ascii="Times New Roman" w:hAnsi="Times New Roman"/>
          <w:w w:val="100"/>
          <w:sz w:val="24"/>
        </w:rPr>
        <w:t>протеомный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10270F">
        <w:rPr>
          <w:rFonts w:ascii="Times New Roman" w:hAnsi="Times New Roman"/>
          <w:w w:val="100"/>
          <w:sz w:val="24"/>
        </w:rPr>
        <w:t>метаболомный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профили, индуцируя </w:t>
      </w:r>
      <w:proofErr w:type="spellStart"/>
      <w:r w:rsidRPr="0010270F">
        <w:rPr>
          <w:rFonts w:ascii="Times New Roman" w:hAnsi="Times New Roman"/>
          <w:w w:val="100"/>
          <w:sz w:val="24"/>
        </w:rPr>
        <w:t>провоспалительный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цитокин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интерлейкин­1, бета, фактор некроза опухоли­</w:t>
      </w:r>
      <w:r w:rsidRPr="0010270F">
        <w:rPr>
          <w:rFonts w:ascii="Times New Roman" w:hAnsi="Times New Roman" w:cs="Times New Roman Cyr"/>
          <w:w w:val="100"/>
          <w:sz w:val="24"/>
        </w:rPr>
        <w:t>α</w:t>
      </w:r>
      <w:r w:rsidRPr="0010270F">
        <w:rPr>
          <w:rFonts w:ascii="Times New Roman" w:hAnsi="Times New Roman"/>
          <w:w w:val="100"/>
          <w:sz w:val="24"/>
        </w:rPr>
        <w:t xml:space="preserve"> и кластеры дифференциации 86, 80 и 40. Исследуемый материал обладает отдалёнными эффектами действия: </w:t>
      </w:r>
      <w:proofErr w:type="spellStart"/>
      <w:r w:rsidRPr="0010270F">
        <w:rPr>
          <w:rFonts w:ascii="Times New Roman" w:hAnsi="Times New Roman"/>
          <w:w w:val="100"/>
          <w:sz w:val="24"/>
        </w:rPr>
        <w:t>канцерогенностью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10270F">
        <w:rPr>
          <w:rFonts w:ascii="Times New Roman" w:hAnsi="Times New Roman"/>
          <w:w w:val="100"/>
          <w:sz w:val="24"/>
        </w:rPr>
        <w:t>иммунотоксичностью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</w:t>
      </w:r>
      <w:r w:rsidRPr="0010270F">
        <w:rPr>
          <w:rFonts w:ascii="Times New Roman" w:hAnsi="Times New Roman"/>
          <w:i/>
          <w:iCs/>
          <w:w w:val="100"/>
          <w:sz w:val="24"/>
        </w:rPr>
        <w:t>Выводы</w:t>
      </w:r>
      <w:r w:rsidRPr="0010270F">
        <w:rPr>
          <w:rFonts w:ascii="Times New Roman" w:hAnsi="Times New Roman"/>
          <w:w w:val="100"/>
          <w:sz w:val="24"/>
        </w:rPr>
        <w:t xml:space="preserve">.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Наночастицы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оксида алюминия обладают высокой степенью потенциальной опасности для здоровья человека (коэффициент D = 2,202, что укладывается в диапазон 1,780–2,449, соответствующий высокой степени). Это свидетельствует о необходимости проведения токсикологических исследований и составления </w:t>
      </w:r>
      <w:proofErr w:type="spellStart"/>
      <w:r w:rsidRPr="0010270F">
        <w:rPr>
          <w:rFonts w:ascii="Times New Roman" w:hAnsi="Times New Roman"/>
          <w:w w:val="100"/>
          <w:sz w:val="24"/>
        </w:rPr>
        <w:t>токсиколого­гигиенической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характеристики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наночастиц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оксида алюминия при различных путях поступления для разработки эффективных мер профилактики негативного воздействия для лиц, контактирующих с ним в ходе производства и с готовой продукцией.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наночастицы</w:t>
      </w:r>
      <w:proofErr w:type="spellEnd"/>
      <w:r w:rsidRPr="0010270F">
        <w:rPr>
          <w:rFonts w:ascii="Times New Roman" w:hAnsi="Times New Roman"/>
          <w:w w:val="100"/>
          <w:sz w:val="24"/>
        </w:rPr>
        <w:t>, оксид алюминия, потенциальная опасность, токсичность</w:t>
      </w:r>
    </w:p>
    <w:p w:rsidR="0010270F" w:rsidRPr="0010270F" w:rsidRDefault="0010270F" w:rsidP="0010270F">
      <w:pPr>
        <w:pStyle w:val="a3"/>
        <w:rPr>
          <w:rFonts w:ascii="Times New Roman" w:hAnsi="Times New Roman"/>
          <w:sz w:val="24"/>
        </w:rPr>
      </w:pPr>
    </w:p>
    <w:p w:rsidR="0010270F" w:rsidRPr="00097EF3" w:rsidRDefault="0010270F" w:rsidP="0010270F">
      <w:pPr>
        <w:rPr>
          <w:rFonts w:ascii="Times New Roman" w:hAnsi="Times New Roman"/>
          <w:sz w:val="24"/>
          <w:lang w:val="en-US"/>
        </w:rPr>
      </w:pPr>
    </w:p>
    <w:p w:rsidR="0010270F" w:rsidRPr="00097EF3" w:rsidRDefault="0010270F" w:rsidP="0010270F">
      <w:pPr>
        <w:pStyle w:val="a4"/>
        <w:rPr>
          <w:rFonts w:ascii="Times New Roman" w:hAnsi="Times New Roman"/>
          <w:sz w:val="24"/>
          <w:lang w:val="en-US"/>
        </w:rPr>
      </w:pPr>
      <w:r w:rsidRPr="0010270F">
        <w:rPr>
          <w:rFonts w:ascii="Times New Roman" w:hAnsi="Times New Roman"/>
          <w:sz w:val="24"/>
        </w:rPr>
        <w:t>УДК</w:t>
      </w:r>
      <w:r w:rsidRPr="00097EF3">
        <w:rPr>
          <w:rFonts w:ascii="Times New Roman" w:hAnsi="Times New Roman"/>
          <w:sz w:val="24"/>
          <w:lang w:val="en-US"/>
        </w:rPr>
        <w:t xml:space="preserve"> [612.799.1:546.3]­053.2(571.121)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Биомониторинг содержания тяжелых металлов в волосах </w:t>
      </w:r>
      <w:r w:rsidRPr="0010270F">
        <w:rPr>
          <w:rFonts w:ascii="Times New Roman" w:hAnsi="Times New Roman"/>
          <w:sz w:val="24"/>
        </w:rPr>
        <w:br/>
        <w:t>детского населения на территории арктической зоны РОССИИ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О. М. Журба, Н. В. Ефимова, А. В. Меринов, А. Н. </w:t>
      </w:r>
      <w:proofErr w:type="spellStart"/>
      <w:r w:rsidRPr="0010270F">
        <w:rPr>
          <w:rFonts w:ascii="Times New Roman" w:hAnsi="Times New Roman"/>
        </w:rPr>
        <w:t>Алексеенко</w:t>
      </w:r>
      <w:proofErr w:type="spellEnd"/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>ФГБНУ «</w:t>
      </w:r>
      <w:proofErr w:type="spellStart"/>
      <w:r w:rsidRPr="0010270F">
        <w:rPr>
          <w:rFonts w:ascii="Times New Roman" w:hAnsi="Times New Roman"/>
          <w:w w:val="100"/>
          <w:sz w:val="24"/>
        </w:rPr>
        <w:t>Восточно­Сибирский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институт </w:t>
      </w:r>
      <w:proofErr w:type="spellStart"/>
      <w:r w:rsidRPr="0010270F">
        <w:rPr>
          <w:rFonts w:ascii="Times New Roman" w:hAnsi="Times New Roman"/>
          <w:w w:val="100"/>
          <w:sz w:val="24"/>
        </w:rPr>
        <w:t>медико­экологических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исследований», </w:t>
      </w:r>
      <w:proofErr w:type="gramStart"/>
      <w:r w:rsidRPr="0010270F">
        <w:rPr>
          <w:rFonts w:ascii="Times New Roman" w:hAnsi="Times New Roman"/>
          <w:w w:val="100"/>
          <w:sz w:val="24"/>
        </w:rPr>
        <w:t>г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. </w:t>
      </w:r>
      <w:proofErr w:type="spellStart"/>
      <w:r w:rsidRPr="0010270F">
        <w:rPr>
          <w:rFonts w:ascii="Times New Roman" w:hAnsi="Times New Roman"/>
          <w:w w:val="100"/>
          <w:sz w:val="24"/>
        </w:rPr>
        <w:t>Ангарск</w:t>
      </w:r>
      <w:proofErr w:type="spellEnd"/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proofErr w:type="gramStart"/>
      <w:r w:rsidRPr="0010270F">
        <w:rPr>
          <w:rFonts w:ascii="Times New Roman" w:hAnsi="Times New Roman"/>
          <w:i/>
          <w:iCs/>
          <w:w w:val="100"/>
          <w:sz w:val="24"/>
        </w:rPr>
        <w:t>Цель</w:t>
      </w:r>
      <w:r w:rsidRPr="0010270F">
        <w:rPr>
          <w:rFonts w:ascii="Times New Roman" w:hAnsi="Times New Roman"/>
          <w:w w:val="100"/>
          <w:sz w:val="24"/>
        </w:rPr>
        <w:t xml:space="preserve"> исследования – изучить содержание тяжелых металлов: цинка, железа, меди, свинца, мышьяка, марганца, хрома, кадмия и ртути в пробах волос детей, постоянно </w:t>
      </w:r>
      <w:r w:rsidRPr="0010270F">
        <w:rPr>
          <w:rFonts w:ascii="Times New Roman" w:hAnsi="Times New Roman"/>
          <w:w w:val="100"/>
          <w:sz w:val="24"/>
        </w:rPr>
        <w:lastRenderedPageBreak/>
        <w:t>проживающих на территории арктической зоны России.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</w:t>
      </w:r>
      <w:r w:rsidRPr="0010270F">
        <w:rPr>
          <w:rFonts w:ascii="Times New Roman" w:hAnsi="Times New Roman"/>
          <w:i/>
          <w:iCs/>
          <w:w w:val="100"/>
          <w:sz w:val="24"/>
        </w:rPr>
        <w:t>Методы</w:t>
      </w:r>
      <w:r w:rsidRPr="0010270F">
        <w:rPr>
          <w:rFonts w:ascii="Times New Roman" w:hAnsi="Times New Roman"/>
          <w:w w:val="100"/>
          <w:sz w:val="24"/>
        </w:rPr>
        <w:t xml:space="preserve">. </w:t>
      </w:r>
      <w:proofErr w:type="gramStart"/>
      <w:r w:rsidRPr="0010270F">
        <w:rPr>
          <w:rFonts w:ascii="Times New Roman" w:hAnsi="Times New Roman"/>
          <w:w w:val="100"/>
          <w:sz w:val="24"/>
        </w:rPr>
        <w:t xml:space="preserve">Применялись метод </w:t>
      </w:r>
      <w:proofErr w:type="spellStart"/>
      <w:r w:rsidRPr="0010270F">
        <w:rPr>
          <w:rFonts w:ascii="Times New Roman" w:hAnsi="Times New Roman"/>
          <w:w w:val="100"/>
          <w:sz w:val="24"/>
        </w:rPr>
        <w:t>атомно­абсорбционной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спектрометрии с пламенной и электротермической </w:t>
      </w:r>
      <w:proofErr w:type="spellStart"/>
      <w:r w:rsidRPr="0010270F">
        <w:rPr>
          <w:rFonts w:ascii="Times New Roman" w:hAnsi="Times New Roman"/>
          <w:w w:val="100"/>
          <w:sz w:val="24"/>
        </w:rPr>
        <w:t>атомизациями</w:t>
      </w:r>
      <w:proofErr w:type="spellEnd"/>
      <w:r w:rsidRPr="0010270F">
        <w:rPr>
          <w:rFonts w:ascii="Times New Roman" w:hAnsi="Times New Roman"/>
          <w:w w:val="100"/>
          <w:sz w:val="24"/>
        </w:rPr>
        <w:t>, метод холодного пара.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В поперечном исследовании участвовали 48 детей в возрасте от 7 до 17 лет. Волосы представляют идеальный объект исследования и являются одной из информативных тканевых структур человека. Отбор проб волос производился с затылочной части головы. Полученные результаты сравнивали с </w:t>
      </w:r>
      <w:proofErr w:type="spellStart"/>
      <w:r w:rsidRPr="0010270F">
        <w:rPr>
          <w:rFonts w:ascii="Times New Roman" w:hAnsi="Times New Roman"/>
          <w:w w:val="100"/>
          <w:sz w:val="24"/>
        </w:rPr>
        <w:t>референтными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значениями, установленными для жителей Приволжского и Уральского федеральных округов Российской Федерации.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10270F">
        <w:rPr>
          <w:rFonts w:ascii="Times New Roman" w:hAnsi="Times New Roman"/>
          <w:w w:val="100"/>
          <w:sz w:val="24"/>
        </w:rPr>
        <w:t>. Выявлены превышения рекомендуемых значений по меди, железу, марганцу и цинку в 100,0, 66,7, 25,0 и 22,2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 xml:space="preserve">% проб соответственно у детей </w:t>
      </w:r>
      <w:proofErr w:type="gramStart"/>
      <w:r w:rsidRPr="0010270F">
        <w:rPr>
          <w:rFonts w:ascii="Times New Roman" w:hAnsi="Times New Roman"/>
          <w:w w:val="100"/>
          <w:sz w:val="24"/>
        </w:rPr>
        <w:t>г</w:t>
      </w:r>
      <w:proofErr w:type="gramEnd"/>
      <w:r w:rsidRPr="0010270F">
        <w:rPr>
          <w:rFonts w:ascii="Times New Roman" w:hAnsi="Times New Roman"/>
          <w:w w:val="100"/>
          <w:sz w:val="24"/>
        </w:rPr>
        <w:t>. Салехарда в возрасте 7–11 лет и по железу, меди, хрому, цинку и марганцу в 70,0, 50,0, 44,4, 40,0 и 20,0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 xml:space="preserve">% проб соответственно у детей Салехарда 13–16 лет. У детей обеих возрастных групп пос. </w:t>
      </w:r>
      <w:proofErr w:type="spellStart"/>
      <w:r w:rsidRPr="0010270F">
        <w:rPr>
          <w:rFonts w:ascii="Times New Roman" w:hAnsi="Times New Roman"/>
          <w:w w:val="100"/>
          <w:sz w:val="24"/>
        </w:rPr>
        <w:t>Яр­Сале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установлены превышения рекомендуемых уровней по железу, хрому, меди и цинку, доля таких проб у детей 7–11 лет составила 100,0, 85,7, 57,1 и 7,1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соответственно, а у детей 13–17 лет – 100,0, 86,7, 13,3 и 13,3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 xml:space="preserve">%. </w:t>
      </w:r>
      <w:r w:rsidRPr="0010270F">
        <w:rPr>
          <w:rFonts w:ascii="Times New Roman" w:hAnsi="Times New Roman"/>
          <w:i/>
          <w:iCs/>
          <w:w w:val="100"/>
          <w:sz w:val="24"/>
        </w:rPr>
        <w:t>Вывод</w:t>
      </w:r>
      <w:r w:rsidRPr="0010270F">
        <w:rPr>
          <w:rFonts w:ascii="Times New Roman" w:hAnsi="Times New Roman"/>
          <w:w w:val="100"/>
          <w:sz w:val="24"/>
        </w:rPr>
        <w:t xml:space="preserve">. Проведенные исследования по изучению содержания тяжелых металлов в волосах обеих возрастных групп детей пос. </w:t>
      </w:r>
      <w:proofErr w:type="spellStart"/>
      <w:r w:rsidRPr="0010270F">
        <w:rPr>
          <w:rFonts w:ascii="Times New Roman" w:hAnsi="Times New Roman"/>
          <w:w w:val="100"/>
          <w:sz w:val="24"/>
        </w:rPr>
        <w:t>Яр­Сале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</w:t>
      </w:r>
      <w:proofErr w:type="gramStart"/>
      <w:r w:rsidRPr="0010270F">
        <w:rPr>
          <w:rFonts w:ascii="Times New Roman" w:hAnsi="Times New Roman"/>
          <w:w w:val="100"/>
          <w:sz w:val="24"/>
        </w:rPr>
        <w:t>г</w:t>
      </w:r>
      <w:proofErr w:type="gramEnd"/>
      <w:r w:rsidRPr="0010270F">
        <w:rPr>
          <w:rFonts w:ascii="Times New Roman" w:hAnsi="Times New Roman"/>
          <w:w w:val="100"/>
          <w:sz w:val="24"/>
        </w:rPr>
        <w:t>. Салехарда выявили превышения рекомендуемых значений по цинку, меди, железу, хрому (кроме возрастной группы детей 7–11 лет Салехарда). У обследованных детей, проживающих в Салехарде, отмечались превышения по марганцу.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арктическая зона, тяжелые металлы, дети, волосы, </w:t>
      </w:r>
      <w:proofErr w:type="spellStart"/>
      <w:r w:rsidRPr="0010270F">
        <w:rPr>
          <w:rFonts w:ascii="Times New Roman" w:hAnsi="Times New Roman"/>
          <w:w w:val="100"/>
          <w:sz w:val="24"/>
        </w:rPr>
        <w:t>атомно­абсорбционная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спектрометрия</w:t>
      </w:r>
    </w:p>
    <w:p w:rsidR="0010270F" w:rsidRPr="0010270F" w:rsidRDefault="0010270F" w:rsidP="0010270F">
      <w:pPr>
        <w:pStyle w:val="a3"/>
        <w:rPr>
          <w:rFonts w:ascii="Times New Roman" w:hAnsi="Times New Roman"/>
          <w:sz w:val="24"/>
        </w:rPr>
      </w:pPr>
    </w:p>
    <w:p w:rsidR="0010270F" w:rsidRPr="00097EF3" w:rsidRDefault="0010270F" w:rsidP="0010270F">
      <w:pPr>
        <w:rPr>
          <w:rFonts w:ascii="Times New Roman" w:hAnsi="Times New Roman"/>
          <w:sz w:val="24"/>
          <w:lang w:val="en-US"/>
        </w:rPr>
      </w:pPr>
    </w:p>
    <w:p w:rsidR="0010270F" w:rsidRPr="00097EF3" w:rsidRDefault="0010270F" w:rsidP="0010270F">
      <w:pPr>
        <w:pStyle w:val="a4"/>
        <w:rPr>
          <w:rFonts w:ascii="Times New Roman" w:hAnsi="Times New Roman"/>
          <w:sz w:val="24"/>
          <w:lang w:val="en-US"/>
        </w:rPr>
      </w:pPr>
      <w:r w:rsidRPr="0010270F">
        <w:rPr>
          <w:rFonts w:ascii="Times New Roman" w:hAnsi="Times New Roman"/>
          <w:sz w:val="24"/>
        </w:rPr>
        <w:t>УДК</w:t>
      </w:r>
      <w:r w:rsidRPr="00097EF3">
        <w:rPr>
          <w:rFonts w:ascii="Times New Roman" w:hAnsi="Times New Roman"/>
          <w:sz w:val="24"/>
          <w:lang w:val="en-US"/>
        </w:rPr>
        <w:t xml:space="preserve"> 612.017.1(470.1) 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митохондриальнЫЙ путЬ инициации апоптоза лимфоцитов </w:t>
      </w:r>
      <w:r w:rsidRPr="0010270F">
        <w:rPr>
          <w:rFonts w:ascii="Times New Roman" w:hAnsi="Times New Roman"/>
          <w:sz w:val="24"/>
        </w:rPr>
        <w:br/>
        <w:t xml:space="preserve">на фоне подавления пролиферации Т­клеток при лимфопении </w:t>
      </w:r>
      <w:r w:rsidRPr="0010270F">
        <w:rPr>
          <w:rFonts w:ascii="Times New Roman" w:hAnsi="Times New Roman"/>
          <w:sz w:val="24"/>
        </w:rPr>
        <w:br/>
        <w:t>у практически здоровых жителей Арктики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О. А. </w:t>
      </w:r>
      <w:proofErr w:type="spellStart"/>
      <w:r w:rsidRPr="0010270F">
        <w:rPr>
          <w:rFonts w:ascii="Times New Roman" w:hAnsi="Times New Roman"/>
        </w:rPr>
        <w:t>Ставинская</w:t>
      </w:r>
      <w:proofErr w:type="spellEnd"/>
      <w:r w:rsidRPr="0010270F">
        <w:rPr>
          <w:rFonts w:ascii="Times New Roman" w:hAnsi="Times New Roman"/>
        </w:rPr>
        <w:t>, Л. К. Добродеева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Институт физиологии природных адаптаций ФГБУН «Федеральный исследовательский центр </w:t>
      </w:r>
      <w:r w:rsidRPr="0010270F">
        <w:rPr>
          <w:rFonts w:ascii="Times New Roman" w:hAnsi="Times New Roman"/>
          <w:w w:val="100"/>
          <w:sz w:val="24"/>
        </w:rPr>
        <w:br/>
        <w:t xml:space="preserve">комплексного изучения Арктики имени академика Н. П. </w:t>
      </w:r>
      <w:proofErr w:type="spellStart"/>
      <w:r w:rsidRPr="0010270F">
        <w:rPr>
          <w:rFonts w:ascii="Times New Roman" w:hAnsi="Times New Roman"/>
          <w:w w:val="100"/>
          <w:sz w:val="24"/>
        </w:rPr>
        <w:t>Лавёрова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» Российской академии наук, </w:t>
      </w:r>
      <w:proofErr w:type="gramStart"/>
      <w:r w:rsidRPr="0010270F">
        <w:rPr>
          <w:rFonts w:ascii="Times New Roman" w:hAnsi="Times New Roman"/>
          <w:w w:val="100"/>
          <w:sz w:val="24"/>
        </w:rPr>
        <w:t>г</w:t>
      </w:r>
      <w:proofErr w:type="gramEnd"/>
      <w:r w:rsidRPr="0010270F">
        <w:rPr>
          <w:rFonts w:ascii="Times New Roman" w:hAnsi="Times New Roman"/>
          <w:w w:val="100"/>
          <w:sz w:val="24"/>
        </w:rPr>
        <w:t>. Архангельск</w:t>
      </w:r>
    </w:p>
    <w:p w:rsidR="0010270F" w:rsidRPr="0010270F" w:rsidRDefault="0010270F" w:rsidP="0010270F">
      <w:pPr>
        <w:pStyle w:val="a8"/>
        <w:rPr>
          <w:rFonts w:ascii="Times New Roman" w:hAnsi="Times New Roman"/>
          <w:b/>
          <w:bCs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i/>
          <w:iCs/>
          <w:w w:val="100"/>
          <w:sz w:val="24"/>
        </w:rPr>
        <w:t xml:space="preserve">Цель </w:t>
      </w:r>
      <w:r w:rsidRPr="0010270F">
        <w:rPr>
          <w:rFonts w:ascii="Times New Roman" w:hAnsi="Times New Roman"/>
          <w:w w:val="100"/>
          <w:sz w:val="24"/>
        </w:rPr>
        <w:t xml:space="preserve">– изучить показатели </w:t>
      </w:r>
      <w:proofErr w:type="spellStart"/>
      <w:r w:rsidRPr="0010270F">
        <w:rPr>
          <w:rFonts w:ascii="Times New Roman" w:hAnsi="Times New Roman"/>
          <w:w w:val="100"/>
          <w:sz w:val="24"/>
        </w:rPr>
        <w:t>апоптоза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(программируемой гибели) лимфоцитов крови при </w:t>
      </w:r>
      <w:proofErr w:type="spellStart"/>
      <w:r w:rsidRPr="0010270F">
        <w:rPr>
          <w:rFonts w:ascii="Times New Roman" w:hAnsi="Times New Roman"/>
          <w:w w:val="100"/>
          <w:sz w:val="24"/>
        </w:rPr>
        <w:t>лимфопении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у практически здоровых людей в возрасте от 20 до 60 лет, проживающих и работающих в Архангельской области Российской Федерации. </w:t>
      </w:r>
      <w:r w:rsidRPr="0010270F">
        <w:rPr>
          <w:rFonts w:ascii="Times New Roman" w:hAnsi="Times New Roman"/>
          <w:i/>
          <w:iCs/>
          <w:w w:val="100"/>
          <w:sz w:val="24"/>
        </w:rPr>
        <w:t xml:space="preserve">Методы. </w:t>
      </w:r>
      <w:proofErr w:type="spellStart"/>
      <w:r w:rsidRPr="0010270F">
        <w:rPr>
          <w:rFonts w:ascii="Times New Roman" w:hAnsi="Times New Roman"/>
          <w:w w:val="100"/>
          <w:sz w:val="24"/>
        </w:rPr>
        <w:t>Апоптоз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лимфоцитов оценивали методом </w:t>
      </w:r>
      <w:proofErr w:type="gramStart"/>
      <w:r w:rsidRPr="0010270F">
        <w:rPr>
          <w:rFonts w:ascii="Times New Roman" w:hAnsi="Times New Roman"/>
          <w:w w:val="100"/>
          <w:sz w:val="24"/>
        </w:rPr>
        <w:t>проточной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лазерной </w:t>
      </w:r>
      <w:proofErr w:type="spellStart"/>
      <w:r w:rsidRPr="0010270F">
        <w:rPr>
          <w:rFonts w:ascii="Times New Roman" w:hAnsi="Times New Roman"/>
          <w:w w:val="100"/>
          <w:sz w:val="24"/>
        </w:rPr>
        <w:t>цитофлюориметрии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Концентрацию </w:t>
      </w:r>
      <w:proofErr w:type="spellStart"/>
      <w:r w:rsidRPr="0010270F">
        <w:rPr>
          <w:rFonts w:ascii="Times New Roman" w:hAnsi="Times New Roman"/>
          <w:w w:val="100"/>
          <w:sz w:val="24"/>
        </w:rPr>
        <w:t>цитокинов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медиаторов </w:t>
      </w:r>
      <w:proofErr w:type="spellStart"/>
      <w:r w:rsidRPr="0010270F">
        <w:rPr>
          <w:rFonts w:ascii="Times New Roman" w:hAnsi="Times New Roman"/>
          <w:w w:val="100"/>
          <w:sz w:val="24"/>
        </w:rPr>
        <w:t>апоптоза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в крови определяли методом твердофазного иммуноферментного анализа. В мазках крови, окрашенных по </w:t>
      </w:r>
      <w:proofErr w:type="gramStart"/>
      <w:r w:rsidRPr="0010270F">
        <w:rPr>
          <w:rFonts w:ascii="Times New Roman" w:hAnsi="Times New Roman"/>
          <w:w w:val="100"/>
          <w:sz w:val="24"/>
        </w:rPr>
        <w:t>Романовскому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– </w:t>
      </w:r>
      <w:proofErr w:type="spellStart"/>
      <w:r w:rsidRPr="0010270F">
        <w:rPr>
          <w:rFonts w:ascii="Times New Roman" w:hAnsi="Times New Roman"/>
          <w:w w:val="100"/>
          <w:sz w:val="24"/>
        </w:rPr>
        <w:t>Гимзе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изучали </w:t>
      </w:r>
      <w:proofErr w:type="spellStart"/>
      <w:r w:rsidRPr="0010270F">
        <w:rPr>
          <w:rFonts w:ascii="Times New Roman" w:hAnsi="Times New Roman"/>
          <w:w w:val="100"/>
          <w:sz w:val="24"/>
        </w:rPr>
        <w:t>лимфоцитограмму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Содержание фенотипов лимфоцитов устанавливали методом двойной </w:t>
      </w:r>
      <w:proofErr w:type="spellStart"/>
      <w:r w:rsidRPr="0010270F">
        <w:rPr>
          <w:rFonts w:ascii="Times New Roman" w:hAnsi="Times New Roman"/>
          <w:w w:val="100"/>
          <w:sz w:val="24"/>
        </w:rPr>
        <w:t>пероксидазной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метки с использованием </w:t>
      </w:r>
      <w:proofErr w:type="spellStart"/>
      <w:r w:rsidRPr="0010270F">
        <w:rPr>
          <w:rFonts w:ascii="Times New Roman" w:hAnsi="Times New Roman"/>
          <w:w w:val="100"/>
          <w:sz w:val="24"/>
        </w:rPr>
        <w:t>моноклональных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антител. Тип исследования – ретроспективный, выборки случайные, одномоментные. Генеральная </w:t>
      </w:r>
      <w:r w:rsidRPr="0010270F">
        <w:rPr>
          <w:rFonts w:ascii="Times New Roman" w:hAnsi="Times New Roman"/>
          <w:w w:val="100"/>
          <w:sz w:val="24"/>
        </w:rPr>
        <w:lastRenderedPageBreak/>
        <w:t xml:space="preserve">совокупность – жители севера европейской территории России. Границы нормального распределения количественных показателей выявляли при помощи критерия Шапиро – </w:t>
      </w:r>
      <w:proofErr w:type="spellStart"/>
      <w:r w:rsidRPr="0010270F">
        <w:rPr>
          <w:rFonts w:ascii="Times New Roman" w:hAnsi="Times New Roman"/>
          <w:w w:val="100"/>
          <w:sz w:val="24"/>
        </w:rPr>
        <w:t>Уилка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Значимость различий между группами оценивали с помощью параметрического </w:t>
      </w:r>
      <w:proofErr w:type="spellStart"/>
      <w:r w:rsidRPr="0010270F">
        <w:rPr>
          <w:rFonts w:ascii="Times New Roman" w:hAnsi="Times New Roman"/>
          <w:w w:val="100"/>
          <w:sz w:val="24"/>
        </w:rPr>
        <w:t>t­критерия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Стьюдента и критерия </w:t>
      </w:r>
      <w:proofErr w:type="spellStart"/>
      <w:r w:rsidRPr="0010270F">
        <w:rPr>
          <w:rFonts w:ascii="Times New Roman" w:hAnsi="Times New Roman"/>
          <w:w w:val="100"/>
          <w:sz w:val="24"/>
        </w:rPr>
        <w:t>Уилкоксона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Исследование проводили с соблюдением основных норм биомедицинской этики.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Результаты.</w:t>
      </w:r>
      <w:r w:rsidRPr="0010270F">
        <w:rPr>
          <w:rFonts w:ascii="Times New Roman" w:hAnsi="Times New Roman"/>
          <w:w w:val="100"/>
          <w:sz w:val="24"/>
        </w:rPr>
        <w:t xml:space="preserve"> Для реализации поставленной цели выделили две группы обследуемых лиц: с нормальным (2,5–4,0 </w:t>
      </w:r>
      <w:r w:rsidRPr="0010270F">
        <w:rPr>
          <w:rFonts w:ascii="Times New Roman" w:hAnsi="Times New Roman" w:cs="Times New Roman Cyr"/>
          <w:w w:val="100"/>
          <w:sz w:val="24"/>
        </w:rPr>
        <w:t xml:space="preserve">× </w:t>
      </w:r>
      <w:r w:rsidRPr="0010270F">
        <w:rPr>
          <w:rFonts w:ascii="Times New Roman" w:hAnsi="Times New Roman"/>
          <w:w w:val="100"/>
          <w:sz w:val="24"/>
        </w:rPr>
        <w:t>10</w:t>
      </w:r>
      <w:r w:rsidRPr="0010270F">
        <w:rPr>
          <w:rFonts w:ascii="Times New Roman" w:hAnsi="Times New Roman"/>
          <w:w w:val="100"/>
          <w:sz w:val="24"/>
          <w:vertAlign w:val="superscript"/>
        </w:rPr>
        <w:t>9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кл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/л, </w:t>
      </w:r>
      <w:proofErr w:type="spellStart"/>
      <w:r w:rsidRPr="0010270F">
        <w:rPr>
          <w:rFonts w:ascii="Times New Roman" w:hAnsi="Times New Roman"/>
          <w:w w:val="100"/>
          <w:sz w:val="24"/>
        </w:rPr>
        <w:t>n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= 44) и пониженным (&lt;1,5 </w:t>
      </w:r>
      <w:r w:rsidRPr="0010270F">
        <w:rPr>
          <w:rFonts w:ascii="Times New Roman" w:hAnsi="Times New Roman" w:cs="Times New Roman Cyr"/>
          <w:w w:val="100"/>
          <w:sz w:val="24"/>
        </w:rPr>
        <w:t xml:space="preserve">× </w:t>
      </w:r>
      <w:r w:rsidRPr="0010270F">
        <w:rPr>
          <w:rFonts w:ascii="Times New Roman" w:hAnsi="Times New Roman"/>
          <w:w w:val="100"/>
          <w:sz w:val="24"/>
        </w:rPr>
        <w:t>10</w:t>
      </w:r>
      <w:r w:rsidRPr="0010270F">
        <w:rPr>
          <w:rFonts w:ascii="Times New Roman" w:hAnsi="Times New Roman"/>
          <w:w w:val="100"/>
          <w:sz w:val="24"/>
          <w:vertAlign w:val="superscript"/>
        </w:rPr>
        <w:t>9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кл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/л, </w:t>
      </w:r>
      <w:proofErr w:type="spellStart"/>
      <w:r w:rsidRPr="0010270F">
        <w:rPr>
          <w:rFonts w:ascii="Times New Roman" w:hAnsi="Times New Roman"/>
          <w:w w:val="100"/>
          <w:sz w:val="24"/>
        </w:rPr>
        <w:t>n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= 32) уровнями лимфоцитов в крови. Группы были практически равноценны по возрасту и полу. Установлено, что недостаток содержания лимфоцитов в крови практически здоровых жителей Арктики ассоциирован с </w:t>
      </w:r>
      <w:proofErr w:type="spellStart"/>
      <w:r w:rsidRPr="0010270F">
        <w:rPr>
          <w:rFonts w:ascii="Times New Roman" w:hAnsi="Times New Roman"/>
          <w:w w:val="100"/>
          <w:sz w:val="24"/>
        </w:rPr>
        <w:t>ингибицией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процессов пролиферации в системе лимфоцитов со снижением количества CD10+ и уровня IL­2. У обследованных людей растут концентрации </w:t>
      </w:r>
      <w:proofErr w:type="spellStart"/>
      <w:r w:rsidRPr="0010270F">
        <w:rPr>
          <w:rFonts w:ascii="Times New Roman" w:hAnsi="Times New Roman"/>
          <w:w w:val="100"/>
          <w:sz w:val="24"/>
        </w:rPr>
        <w:t>провоспалительных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цитокинов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цитотоксических клеток и </w:t>
      </w:r>
      <w:proofErr w:type="spellStart"/>
      <w:r w:rsidRPr="0010270F">
        <w:rPr>
          <w:rFonts w:ascii="Times New Roman" w:hAnsi="Times New Roman"/>
          <w:w w:val="100"/>
          <w:sz w:val="24"/>
        </w:rPr>
        <w:t>трансферрина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</w:t>
      </w:r>
      <w:r w:rsidRPr="0010270F">
        <w:rPr>
          <w:rFonts w:ascii="Times New Roman" w:hAnsi="Times New Roman"/>
          <w:i/>
          <w:iCs/>
          <w:w w:val="100"/>
          <w:sz w:val="24"/>
        </w:rPr>
        <w:t>Вывод.</w:t>
      </w:r>
      <w:r w:rsidRPr="0010270F">
        <w:rPr>
          <w:rFonts w:ascii="Times New Roman" w:hAnsi="Times New Roman"/>
          <w:w w:val="100"/>
          <w:sz w:val="24"/>
        </w:rPr>
        <w:t xml:space="preserve"> Уровень активности </w:t>
      </w:r>
      <w:proofErr w:type="spellStart"/>
      <w:r w:rsidRPr="0010270F">
        <w:rPr>
          <w:rFonts w:ascii="Times New Roman" w:hAnsi="Times New Roman"/>
          <w:w w:val="100"/>
          <w:sz w:val="24"/>
        </w:rPr>
        <w:t>апоптоза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лимфоцитов на фоне </w:t>
      </w:r>
      <w:proofErr w:type="spellStart"/>
      <w:r w:rsidRPr="0010270F">
        <w:rPr>
          <w:rFonts w:ascii="Times New Roman" w:hAnsi="Times New Roman"/>
          <w:w w:val="100"/>
          <w:sz w:val="24"/>
        </w:rPr>
        <w:t>лимфопении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не меняется, но регистрируется преобладание </w:t>
      </w:r>
      <w:proofErr w:type="spellStart"/>
      <w:r w:rsidRPr="0010270F">
        <w:rPr>
          <w:rFonts w:ascii="Times New Roman" w:hAnsi="Times New Roman"/>
          <w:w w:val="100"/>
          <w:sz w:val="24"/>
        </w:rPr>
        <w:t>митохондриального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пути его инициации, что взаимосвязано с недостаточностью энергетического обеспечения клетки. </w:t>
      </w:r>
    </w:p>
    <w:p w:rsidR="0010270F" w:rsidRPr="0010270F" w:rsidRDefault="0010270F" w:rsidP="0010270F">
      <w:pPr>
        <w:pStyle w:val="a8"/>
        <w:rPr>
          <w:rFonts w:ascii="Times New Roman" w:hAnsi="Times New Roman"/>
          <w:b/>
          <w:bCs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апоптоз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лимфоцитов, </w:t>
      </w:r>
      <w:proofErr w:type="spellStart"/>
      <w:r w:rsidRPr="0010270F">
        <w:rPr>
          <w:rFonts w:ascii="Times New Roman" w:hAnsi="Times New Roman"/>
          <w:w w:val="100"/>
          <w:sz w:val="24"/>
        </w:rPr>
        <w:t>лимфопения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10270F">
        <w:rPr>
          <w:rFonts w:ascii="Times New Roman" w:hAnsi="Times New Roman"/>
          <w:w w:val="100"/>
          <w:sz w:val="24"/>
        </w:rPr>
        <w:t>цитокины</w:t>
      </w:r>
      <w:proofErr w:type="spellEnd"/>
      <w:r w:rsidRPr="0010270F">
        <w:rPr>
          <w:rFonts w:ascii="Times New Roman" w:hAnsi="Times New Roman"/>
          <w:w w:val="100"/>
          <w:sz w:val="24"/>
        </w:rPr>
        <w:t>, жители Арктики.</w:t>
      </w:r>
    </w:p>
    <w:p w:rsidR="0010270F" w:rsidRPr="0010270F" w:rsidRDefault="0010270F" w:rsidP="0010270F">
      <w:pPr>
        <w:pStyle w:val="a3"/>
        <w:rPr>
          <w:rFonts w:ascii="Times New Roman" w:hAnsi="Times New Roman"/>
          <w:caps/>
          <w:sz w:val="24"/>
        </w:rPr>
      </w:pPr>
    </w:p>
    <w:p w:rsidR="0010270F" w:rsidRPr="00097EF3" w:rsidRDefault="0010270F" w:rsidP="0010270F">
      <w:pPr>
        <w:rPr>
          <w:rFonts w:ascii="Times New Roman" w:hAnsi="Times New Roman"/>
          <w:sz w:val="24"/>
          <w:lang w:val="en-US"/>
        </w:rPr>
      </w:pPr>
    </w:p>
    <w:p w:rsidR="0010270F" w:rsidRPr="0010270F" w:rsidRDefault="0010270F" w:rsidP="0010270F">
      <w:pPr>
        <w:pStyle w:val="a4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>УДК 612.313.1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>ХРОНОФИЗИОЛОГИЧЕСКИЕ ОСОБЕННОСТИ ЭЛЕКТРОЛИТНОГО СОСТАВА СЛЮНЫ ЧЕЛОВЕКА В НОРМЕ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</w:t>
      </w:r>
      <w:r w:rsidRPr="0010270F">
        <w:rPr>
          <w:rFonts w:ascii="Times New Roman" w:hAnsi="Times New Roman"/>
          <w:vertAlign w:val="superscript"/>
        </w:rPr>
        <w:t>1,2</w:t>
      </w:r>
      <w:r w:rsidRPr="0010270F">
        <w:rPr>
          <w:rFonts w:ascii="Times New Roman" w:hAnsi="Times New Roman"/>
        </w:rPr>
        <w:t xml:space="preserve">Л. В. Бельская, </w:t>
      </w:r>
      <w:r w:rsidRPr="0010270F">
        <w:rPr>
          <w:rFonts w:ascii="Times New Roman" w:hAnsi="Times New Roman"/>
          <w:vertAlign w:val="superscript"/>
        </w:rPr>
        <w:t>2</w:t>
      </w:r>
      <w:r w:rsidRPr="0010270F">
        <w:rPr>
          <w:rFonts w:ascii="Times New Roman" w:hAnsi="Times New Roman"/>
        </w:rPr>
        <w:t xml:space="preserve">Е. А. </w:t>
      </w:r>
      <w:proofErr w:type="spellStart"/>
      <w:r w:rsidRPr="0010270F">
        <w:rPr>
          <w:rFonts w:ascii="Times New Roman" w:hAnsi="Times New Roman"/>
        </w:rPr>
        <w:t>Сарф</w:t>
      </w:r>
      <w:proofErr w:type="spellEnd"/>
      <w:r w:rsidRPr="0010270F">
        <w:rPr>
          <w:rFonts w:ascii="Times New Roman" w:hAnsi="Times New Roman"/>
        </w:rPr>
        <w:t xml:space="preserve">, </w:t>
      </w:r>
      <w:r w:rsidRPr="0010270F">
        <w:rPr>
          <w:rFonts w:ascii="Times New Roman" w:hAnsi="Times New Roman"/>
          <w:vertAlign w:val="superscript"/>
        </w:rPr>
        <w:t>2,3</w:t>
      </w:r>
      <w:r w:rsidRPr="0010270F">
        <w:rPr>
          <w:rFonts w:ascii="Times New Roman" w:hAnsi="Times New Roman"/>
        </w:rPr>
        <w:t xml:space="preserve">В. К. Косенок, </w:t>
      </w:r>
      <w:r w:rsidRPr="0010270F">
        <w:rPr>
          <w:rFonts w:ascii="Times New Roman" w:hAnsi="Times New Roman"/>
          <w:vertAlign w:val="superscript"/>
        </w:rPr>
        <w:t>4</w:t>
      </w:r>
      <w:r w:rsidRPr="0010270F">
        <w:rPr>
          <w:rFonts w:ascii="Times New Roman" w:hAnsi="Times New Roman"/>
        </w:rPr>
        <w:t xml:space="preserve">Ж. </w:t>
      </w:r>
      <w:proofErr w:type="spellStart"/>
      <w:r w:rsidRPr="0010270F">
        <w:rPr>
          <w:rFonts w:ascii="Times New Roman" w:hAnsi="Times New Roman"/>
        </w:rPr>
        <w:t>Массард</w:t>
      </w:r>
      <w:proofErr w:type="spellEnd"/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  <w:vertAlign w:val="superscript"/>
        </w:rPr>
        <w:t>1</w:t>
      </w:r>
      <w:r w:rsidRPr="0010270F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«Омский государственный технический университет», г. Омск; </w:t>
      </w:r>
      <w:r w:rsidRPr="0010270F">
        <w:rPr>
          <w:rFonts w:ascii="Times New Roman" w:hAnsi="Times New Roman"/>
          <w:w w:val="100"/>
          <w:sz w:val="24"/>
          <w:vertAlign w:val="superscript"/>
        </w:rPr>
        <w:t>2</w:t>
      </w:r>
      <w:r w:rsidRPr="0010270F">
        <w:rPr>
          <w:rFonts w:ascii="Times New Roman" w:hAnsi="Times New Roman"/>
          <w:w w:val="100"/>
          <w:sz w:val="24"/>
        </w:rPr>
        <w:t>ООО «</w:t>
      </w:r>
      <w:proofErr w:type="spellStart"/>
      <w:r w:rsidRPr="0010270F">
        <w:rPr>
          <w:rFonts w:ascii="Times New Roman" w:hAnsi="Times New Roman"/>
          <w:w w:val="100"/>
          <w:sz w:val="24"/>
        </w:rPr>
        <w:t>ХимСервис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», г. Москва; </w:t>
      </w:r>
      <w:r w:rsidRPr="0010270F">
        <w:rPr>
          <w:rFonts w:ascii="Times New Roman" w:hAnsi="Times New Roman"/>
          <w:w w:val="100"/>
          <w:sz w:val="24"/>
        </w:rPr>
        <w:br/>
      </w:r>
      <w:r w:rsidRPr="0010270F">
        <w:rPr>
          <w:rFonts w:ascii="Times New Roman" w:hAnsi="Times New Roman"/>
          <w:w w:val="100"/>
          <w:sz w:val="24"/>
          <w:vertAlign w:val="superscript"/>
        </w:rPr>
        <w:t>3</w:t>
      </w:r>
      <w:r w:rsidRPr="0010270F">
        <w:rPr>
          <w:rFonts w:ascii="Times New Roman" w:hAnsi="Times New Roman"/>
          <w:w w:val="100"/>
          <w:sz w:val="24"/>
        </w:rPr>
        <w:t xml:space="preserve">ФГБОУ ВО «Омский государственный медицинский университет» Министерства здравоохранения Российской Федерации, г. Омск; </w:t>
      </w:r>
      <w:r w:rsidRPr="0010270F">
        <w:rPr>
          <w:rFonts w:ascii="Times New Roman" w:hAnsi="Times New Roman"/>
          <w:w w:val="100"/>
          <w:sz w:val="24"/>
          <w:vertAlign w:val="superscript"/>
        </w:rPr>
        <w:t>4</w:t>
      </w:r>
      <w:r w:rsidRPr="0010270F">
        <w:rPr>
          <w:rFonts w:ascii="Times New Roman" w:hAnsi="Times New Roman"/>
          <w:w w:val="100"/>
          <w:sz w:val="24"/>
        </w:rPr>
        <w:t>Университетская больница Страсбурга, г. Страсбург, Франция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Высокую скорость изменения состава слюны можно использовать для мониторинга биоритмов (сезонных, циркадианных). </w:t>
      </w:r>
      <w:r w:rsidRPr="0010270F">
        <w:rPr>
          <w:rFonts w:ascii="Times New Roman" w:hAnsi="Times New Roman"/>
          <w:i/>
          <w:iCs/>
          <w:w w:val="100"/>
          <w:sz w:val="24"/>
        </w:rPr>
        <w:t>Цель</w:t>
      </w:r>
      <w:r w:rsidRPr="0010270F">
        <w:rPr>
          <w:rFonts w:ascii="Times New Roman" w:hAnsi="Times New Roman"/>
          <w:w w:val="100"/>
          <w:sz w:val="24"/>
        </w:rPr>
        <w:t xml:space="preserve"> работы – изучение околосуточной динамики электролитного состава слюны у мужчин и женщин. </w:t>
      </w:r>
      <w:r w:rsidRPr="0010270F">
        <w:rPr>
          <w:rFonts w:ascii="Times New Roman" w:hAnsi="Times New Roman"/>
          <w:i/>
          <w:iCs/>
          <w:w w:val="100"/>
          <w:sz w:val="24"/>
        </w:rPr>
        <w:t>Методы</w:t>
      </w:r>
      <w:r w:rsidRPr="0010270F">
        <w:rPr>
          <w:rFonts w:ascii="Times New Roman" w:hAnsi="Times New Roman"/>
          <w:w w:val="100"/>
          <w:sz w:val="24"/>
        </w:rPr>
        <w:t xml:space="preserve">. В исследовании приняли участие 40 человек – 20 мужчин, 20 женщин в возрасте (23,1 ± 0,9) года. Пробы слюны собирали в течение суток каждые 3 часа. Электролитный состав слюны определен методом капиллярного электрофореза. Межгрупповые различия оценены непараметрическим критерием.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</w:t>
      </w:r>
      <w:r w:rsidRPr="0010270F">
        <w:rPr>
          <w:rFonts w:ascii="Times New Roman" w:hAnsi="Times New Roman"/>
          <w:w w:val="100"/>
          <w:sz w:val="24"/>
        </w:rPr>
        <w:t xml:space="preserve">. Показано, что концентрация натрия достигает максимальных значений в ночные часы (9,67 </w:t>
      </w:r>
      <w:proofErr w:type="spellStart"/>
      <w:r w:rsidRPr="0010270F">
        <w:rPr>
          <w:rFonts w:ascii="Times New Roman" w:hAnsi="Times New Roman"/>
          <w:w w:val="100"/>
          <w:sz w:val="24"/>
        </w:rPr>
        <w:t>ммоль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/л), а затем монотонно убывает до 12–15 часов дня (5,72 </w:t>
      </w:r>
      <w:proofErr w:type="spellStart"/>
      <w:r w:rsidRPr="0010270F">
        <w:rPr>
          <w:rFonts w:ascii="Times New Roman" w:hAnsi="Times New Roman"/>
          <w:w w:val="100"/>
          <w:sz w:val="24"/>
        </w:rPr>
        <w:t>ммоль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/л). Для концентрации калия максимум наблюдается в районе 12 часов дня (10,71 </w:t>
      </w:r>
      <w:proofErr w:type="spellStart"/>
      <w:r w:rsidRPr="0010270F">
        <w:rPr>
          <w:rFonts w:ascii="Times New Roman" w:hAnsi="Times New Roman"/>
          <w:w w:val="100"/>
          <w:sz w:val="24"/>
        </w:rPr>
        <w:t>ммоль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/л), сохраняется на стабильно высоком уровне до 21 часа вечера, после чего снижается вплоть до 6 часов утра (8,78 </w:t>
      </w:r>
      <w:proofErr w:type="spellStart"/>
      <w:r w:rsidRPr="0010270F">
        <w:rPr>
          <w:rFonts w:ascii="Times New Roman" w:hAnsi="Times New Roman"/>
          <w:w w:val="100"/>
          <w:sz w:val="24"/>
        </w:rPr>
        <w:t>ммоль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/л). Для коэффициента </w:t>
      </w:r>
      <w:proofErr w:type="spellStart"/>
      <w:r w:rsidRPr="0010270F">
        <w:rPr>
          <w:rFonts w:ascii="Times New Roman" w:hAnsi="Times New Roman"/>
          <w:w w:val="100"/>
          <w:sz w:val="24"/>
        </w:rPr>
        <w:t>Na</w:t>
      </w:r>
      <w:proofErr w:type="spellEnd"/>
      <w:r w:rsidRPr="0010270F">
        <w:rPr>
          <w:rFonts w:ascii="Times New Roman" w:hAnsi="Times New Roman"/>
          <w:w w:val="100"/>
          <w:sz w:val="24"/>
        </w:rPr>
        <w:t>/K наблюдается один максимум, соответствующий 3 часам ночи (</w:t>
      </w:r>
      <w:proofErr w:type="spellStart"/>
      <w:r w:rsidRPr="0010270F">
        <w:rPr>
          <w:rFonts w:ascii="Times New Roman" w:hAnsi="Times New Roman"/>
          <w:w w:val="100"/>
          <w:sz w:val="24"/>
        </w:rPr>
        <w:t>Na</w:t>
      </w:r>
      <w:proofErr w:type="spellEnd"/>
      <w:r w:rsidRPr="0010270F">
        <w:rPr>
          <w:rFonts w:ascii="Times New Roman" w:hAnsi="Times New Roman"/>
          <w:w w:val="100"/>
          <w:sz w:val="24"/>
        </w:rPr>
        <w:t>/K = 1,257), и минимум в 12–13 часов дня (</w:t>
      </w:r>
      <w:proofErr w:type="spellStart"/>
      <w:r w:rsidRPr="0010270F">
        <w:rPr>
          <w:rFonts w:ascii="Times New Roman" w:hAnsi="Times New Roman"/>
          <w:w w:val="100"/>
          <w:sz w:val="24"/>
        </w:rPr>
        <w:t>Na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/K = 0,666; </w:t>
      </w:r>
      <w:proofErr w:type="spellStart"/>
      <w:proofErr w:type="gramStart"/>
      <w:r w:rsidRPr="0010270F">
        <w:rPr>
          <w:rFonts w:ascii="Times New Roman" w:hAnsi="Times New Roman"/>
          <w:w w:val="100"/>
          <w:sz w:val="24"/>
        </w:rPr>
        <w:t>р</w:t>
      </w:r>
      <w:proofErr w:type="spellEnd"/>
      <w:proofErr w:type="gramEnd"/>
      <w:r w:rsidRPr="0010270F">
        <w:rPr>
          <w:rFonts w:ascii="Times New Roman" w:hAnsi="Times New Roman"/>
          <w:w w:val="100"/>
          <w:sz w:val="24"/>
        </w:rPr>
        <w:t xml:space="preserve"> = 0,0082). </w:t>
      </w:r>
      <w:r w:rsidRPr="0010270F">
        <w:rPr>
          <w:rFonts w:ascii="Times New Roman" w:hAnsi="Times New Roman"/>
          <w:i/>
          <w:iCs/>
          <w:w w:val="100"/>
          <w:sz w:val="24"/>
        </w:rPr>
        <w:t>Вывод.</w:t>
      </w:r>
      <w:r w:rsidRPr="0010270F">
        <w:rPr>
          <w:rFonts w:ascii="Times New Roman" w:hAnsi="Times New Roman"/>
          <w:w w:val="100"/>
          <w:sz w:val="24"/>
        </w:rPr>
        <w:t xml:space="preserve"> Околосуточная динамика исследуемых параметров характеризуется ярко выраженной периодичностью. </w:t>
      </w:r>
      <w:r w:rsidRPr="0010270F">
        <w:rPr>
          <w:rFonts w:ascii="Times New Roman" w:hAnsi="Times New Roman"/>
          <w:w w:val="100"/>
          <w:sz w:val="24"/>
        </w:rPr>
        <w:lastRenderedPageBreak/>
        <w:t xml:space="preserve">Выявленные закономерности обусловлены изменением скорости секреции слюны в течение суток, а также действием гормонов. 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слюна, </w:t>
      </w:r>
      <w:proofErr w:type="spellStart"/>
      <w:r w:rsidRPr="0010270F">
        <w:rPr>
          <w:rFonts w:ascii="Times New Roman" w:hAnsi="Times New Roman"/>
          <w:w w:val="100"/>
          <w:sz w:val="24"/>
        </w:rPr>
        <w:t>хронофизиология</w:t>
      </w:r>
      <w:proofErr w:type="spellEnd"/>
      <w:r w:rsidRPr="0010270F">
        <w:rPr>
          <w:rFonts w:ascii="Times New Roman" w:hAnsi="Times New Roman"/>
          <w:w w:val="100"/>
          <w:sz w:val="24"/>
        </w:rPr>
        <w:t>, электролитный состав</w:t>
      </w:r>
    </w:p>
    <w:p w:rsidR="0010270F" w:rsidRPr="00097EF3" w:rsidRDefault="0010270F" w:rsidP="0010270F">
      <w:pPr>
        <w:rPr>
          <w:rFonts w:ascii="Times New Roman" w:hAnsi="Times New Roman"/>
          <w:sz w:val="24"/>
        </w:rPr>
      </w:pPr>
    </w:p>
    <w:p w:rsidR="0010270F" w:rsidRPr="00097EF3" w:rsidRDefault="0010270F" w:rsidP="0010270F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10270F">
        <w:rPr>
          <w:rFonts w:ascii="Times New Roman" w:hAnsi="Times New Roman"/>
          <w:sz w:val="24"/>
        </w:rPr>
        <w:t>УДК</w:t>
      </w:r>
      <w:r w:rsidRPr="00097EF3">
        <w:rPr>
          <w:rFonts w:ascii="Times New Roman" w:hAnsi="Times New Roman"/>
          <w:sz w:val="24"/>
          <w:lang w:val="en-US"/>
        </w:rPr>
        <w:t xml:space="preserve"> 612.592:612.216.2</w:t>
      </w:r>
    </w:p>
    <w:p w:rsidR="0010270F" w:rsidRPr="0010270F" w:rsidRDefault="0010270F" w:rsidP="0010270F">
      <w:pPr>
        <w:pStyle w:val="a5"/>
        <w:spacing w:after="57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особенности реакции легочного газообмена на локальное </w:t>
      </w:r>
      <w:r w:rsidRPr="0010270F">
        <w:rPr>
          <w:rFonts w:ascii="Times New Roman" w:hAnsi="Times New Roman"/>
          <w:sz w:val="24"/>
        </w:rPr>
        <w:br/>
        <w:t>холодовое воздействие у молодых лиц трудоспособного возраста</w:t>
      </w:r>
    </w:p>
    <w:p w:rsidR="0010270F" w:rsidRPr="0010270F" w:rsidRDefault="0010270F" w:rsidP="0010270F">
      <w:pPr>
        <w:pStyle w:val="a6"/>
        <w:spacing w:after="57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</w:t>
      </w:r>
      <w:r w:rsidRPr="0010270F">
        <w:rPr>
          <w:rFonts w:ascii="Times New Roman" w:hAnsi="Times New Roman"/>
          <w:vertAlign w:val="superscript"/>
        </w:rPr>
        <w:t>1</w:t>
      </w:r>
      <w:r w:rsidRPr="0010270F">
        <w:rPr>
          <w:rFonts w:ascii="Times New Roman" w:hAnsi="Times New Roman"/>
        </w:rPr>
        <w:t xml:space="preserve">А. А. Шаньгина, </w:t>
      </w:r>
      <w:r w:rsidRPr="0010270F">
        <w:rPr>
          <w:rFonts w:ascii="Times New Roman" w:hAnsi="Times New Roman"/>
          <w:vertAlign w:val="superscript"/>
        </w:rPr>
        <w:t>2</w:t>
      </w:r>
      <w:r w:rsidRPr="0010270F">
        <w:rPr>
          <w:rFonts w:ascii="Times New Roman" w:hAnsi="Times New Roman"/>
        </w:rPr>
        <w:t xml:space="preserve">О. Н. Попова, </w:t>
      </w:r>
      <w:r w:rsidRPr="0010270F">
        <w:rPr>
          <w:rFonts w:ascii="Times New Roman" w:hAnsi="Times New Roman"/>
          <w:vertAlign w:val="superscript"/>
        </w:rPr>
        <w:t>2</w:t>
      </w:r>
      <w:r w:rsidRPr="0010270F">
        <w:rPr>
          <w:rFonts w:ascii="Times New Roman" w:hAnsi="Times New Roman"/>
        </w:rPr>
        <w:t xml:space="preserve">Е. В. Тихонова, </w:t>
      </w:r>
      <w:r w:rsidRPr="0010270F">
        <w:rPr>
          <w:rFonts w:ascii="Times New Roman" w:hAnsi="Times New Roman"/>
          <w:vertAlign w:val="superscript"/>
        </w:rPr>
        <w:t>1</w:t>
      </w:r>
      <w:r w:rsidRPr="0010270F">
        <w:rPr>
          <w:rFonts w:ascii="Times New Roman" w:hAnsi="Times New Roman"/>
        </w:rPr>
        <w:t>С. В. Колмогоров,</w:t>
      </w:r>
      <w:r w:rsidRPr="0010270F">
        <w:rPr>
          <w:rFonts w:ascii="Times New Roman" w:hAnsi="Times New Roman"/>
          <w:vertAlign w:val="superscript"/>
        </w:rPr>
        <w:t xml:space="preserve">  1,2</w:t>
      </w:r>
      <w:r w:rsidRPr="0010270F">
        <w:rPr>
          <w:rFonts w:ascii="Times New Roman" w:hAnsi="Times New Roman"/>
        </w:rPr>
        <w:t xml:space="preserve">А. Б. Гудков 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  <w:vertAlign w:val="superscript"/>
        </w:rPr>
        <w:t>1</w:t>
      </w:r>
      <w:r w:rsidRPr="0010270F">
        <w:rPr>
          <w:rFonts w:ascii="Times New Roman" w:hAnsi="Times New Roman"/>
          <w:w w:val="100"/>
          <w:sz w:val="24"/>
        </w:rPr>
        <w:t xml:space="preserve">ФГАОУ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«Северный (Арктический) федеральный университет имени М. В. Ломоносова» Министерства </w:t>
      </w:r>
      <w:r w:rsidRPr="0010270F">
        <w:rPr>
          <w:rFonts w:ascii="Times New Roman" w:hAnsi="Times New Roman"/>
          <w:w w:val="100"/>
          <w:sz w:val="24"/>
        </w:rPr>
        <w:br/>
        <w:t xml:space="preserve">образования и науки Российской Федерации, г. Архангельск; </w:t>
      </w:r>
      <w:r w:rsidRPr="0010270F">
        <w:rPr>
          <w:rFonts w:ascii="Times New Roman" w:hAnsi="Times New Roman"/>
          <w:w w:val="100"/>
          <w:sz w:val="24"/>
          <w:vertAlign w:val="superscript"/>
        </w:rPr>
        <w:t>2</w:t>
      </w:r>
      <w:r w:rsidRPr="0010270F">
        <w:rPr>
          <w:rFonts w:ascii="Times New Roman" w:hAnsi="Times New Roman"/>
          <w:w w:val="100"/>
          <w:sz w:val="24"/>
        </w:rPr>
        <w:t xml:space="preserve">ФГБОУ ВО «Северный государственный </w:t>
      </w:r>
      <w:r w:rsidRPr="0010270F">
        <w:rPr>
          <w:rFonts w:ascii="Times New Roman" w:hAnsi="Times New Roman"/>
          <w:w w:val="100"/>
          <w:sz w:val="24"/>
        </w:rPr>
        <w:br/>
        <w:t xml:space="preserve">медицинский университет» Министерства здравоохранения Российской Федерации, г. Архангельск 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i/>
          <w:iCs/>
          <w:w w:val="100"/>
          <w:sz w:val="24"/>
        </w:rPr>
        <w:t>Цель</w:t>
      </w:r>
      <w:r w:rsidRPr="0010270F">
        <w:rPr>
          <w:rFonts w:ascii="Times New Roman" w:hAnsi="Times New Roman"/>
          <w:w w:val="100"/>
          <w:sz w:val="24"/>
        </w:rPr>
        <w:t xml:space="preserve"> исследования – выявить особенности легочного газообмена при локальном холодом воздействии у молодых лиц трудоспособного возраста. </w:t>
      </w:r>
      <w:r w:rsidRPr="0010270F">
        <w:rPr>
          <w:rFonts w:ascii="Times New Roman" w:hAnsi="Times New Roman"/>
          <w:i/>
          <w:iCs/>
          <w:w w:val="100"/>
          <w:sz w:val="24"/>
        </w:rPr>
        <w:t>Методы.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10270F">
        <w:rPr>
          <w:rFonts w:ascii="Times New Roman" w:hAnsi="Times New Roman"/>
          <w:w w:val="100"/>
          <w:sz w:val="24"/>
        </w:rPr>
        <w:t>Обследованы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30 юношей и 30 девушек в возрасте 18–24 лет. </w:t>
      </w:r>
      <w:proofErr w:type="spellStart"/>
      <w:r w:rsidRPr="0010270F">
        <w:rPr>
          <w:rFonts w:ascii="Times New Roman" w:hAnsi="Times New Roman"/>
          <w:w w:val="100"/>
          <w:sz w:val="24"/>
        </w:rPr>
        <w:t>Холодовая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нагрузка заключалось в погружении кисти на 1 минуту в воду, температура которой последовательно составляла 24, 15 и 8 °С. Интервал восстановления между пробами – 25–30 минут. В такой же последовательности охлаждалась стопа. После каждой пробы анализировался состав выдыхаемого воздуха.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Результаты.</w:t>
      </w:r>
      <w:r w:rsidRPr="0010270F">
        <w:rPr>
          <w:rFonts w:ascii="Times New Roman" w:hAnsi="Times New Roman"/>
          <w:w w:val="100"/>
          <w:sz w:val="24"/>
        </w:rPr>
        <w:t xml:space="preserve"> При </w:t>
      </w:r>
      <w:proofErr w:type="spellStart"/>
      <w:r w:rsidRPr="0010270F">
        <w:rPr>
          <w:rFonts w:ascii="Times New Roman" w:hAnsi="Times New Roman"/>
          <w:w w:val="100"/>
          <w:sz w:val="24"/>
        </w:rPr>
        <w:t>холодовом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воздействии на кожу кисти у девушек установлено статистически значимое увеличение вентиляционного эквивалента по углекислому газу (ВЭСО</w:t>
      </w:r>
      <w:r w:rsidRPr="0010270F">
        <w:rPr>
          <w:rFonts w:ascii="Times New Roman" w:hAnsi="Times New Roman"/>
          <w:w w:val="100"/>
          <w:sz w:val="24"/>
          <w:vertAlign w:val="subscript"/>
        </w:rPr>
        <w:t>2</w:t>
      </w:r>
      <w:r w:rsidRPr="0010270F">
        <w:rPr>
          <w:rFonts w:ascii="Times New Roman" w:hAnsi="Times New Roman"/>
          <w:w w:val="100"/>
          <w:sz w:val="24"/>
        </w:rPr>
        <w:t>) на 5,4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после охлаждения температурой 8</w:t>
      </w:r>
      <w:proofErr w:type="gramStart"/>
      <w:r w:rsidRPr="0010270F">
        <w:rPr>
          <w:rFonts w:ascii="Times New Roman" w:hAnsi="Times New Roman"/>
          <w:w w:val="100"/>
          <w:sz w:val="24"/>
        </w:rPr>
        <w:t xml:space="preserve"> °С</w:t>
      </w:r>
      <w:proofErr w:type="gramEnd"/>
      <w:r w:rsidRPr="0010270F">
        <w:rPr>
          <w:rFonts w:ascii="Times New Roman" w:hAnsi="Times New Roman"/>
          <w:w w:val="100"/>
          <w:sz w:val="24"/>
        </w:rPr>
        <w:t>, вентиляционного эквивалента по кислороду (ВЭО</w:t>
      </w:r>
      <w:r w:rsidRPr="0010270F">
        <w:rPr>
          <w:rFonts w:ascii="Times New Roman" w:hAnsi="Times New Roman"/>
          <w:w w:val="100"/>
          <w:sz w:val="24"/>
          <w:vertAlign w:val="subscript"/>
        </w:rPr>
        <w:t>2</w:t>
      </w:r>
      <w:r w:rsidRPr="0010270F">
        <w:rPr>
          <w:rFonts w:ascii="Times New Roman" w:hAnsi="Times New Roman"/>
          <w:w w:val="100"/>
          <w:sz w:val="24"/>
        </w:rPr>
        <w:t>) на 7,6, 7,6 и 6,4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при охлаждении температурами 24, 15 и 8 °С соответственно. Увеличился дыхательный коэффициент (ДК) при температуре 24</w:t>
      </w:r>
      <w:proofErr w:type="gramStart"/>
      <w:r w:rsidRPr="0010270F">
        <w:rPr>
          <w:rFonts w:ascii="Times New Roman" w:hAnsi="Times New Roman"/>
          <w:w w:val="100"/>
          <w:sz w:val="24"/>
        </w:rPr>
        <w:t xml:space="preserve"> °С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на 3,9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и при 8 °С – на 2,6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%. Охлаждение стопы температурой 24 °С у девушек вызвало увеличение ВЭО</w:t>
      </w:r>
      <w:r w:rsidRPr="0010270F">
        <w:rPr>
          <w:rFonts w:ascii="Times New Roman" w:hAnsi="Times New Roman"/>
          <w:w w:val="100"/>
          <w:sz w:val="24"/>
          <w:vertAlign w:val="subscript"/>
        </w:rPr>
        <w:t>2</w:t>
      </w:r>
      <w:r w:rsidRPr="0010270F">
        <w:rPr>
          <w:rFonts w:ascii="Times New Roman" w:hAnsi="Times New Roman"/>
          <w:w w:val="100"/>
          <w:sz w:val="24"/>
        </w:rPr>
        <w:t xml:space="preserve"> на 8,8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%. Воздействие температурами 15 и 8 °С привело к значимому увеличению ВЭСО</w:t>
      </w:r>
      <w:r w:rsidRPr="0010270F">
        <w:rPr>
          <w:rFonts w:ascii="Times New Roman" w:hAnsi="Times New Roman"/>
          <w:w w:val="100"/>
          <w:sz w:val="24"/>
          <w:vertAlign w:val="subscript"/>
        </w:rPr>
        <w:t>2</w:t>
      </w:r>
      <w:r w:rsidRPr="0010270F">
        <w:rPr>
          <w:rFonts w:ascii="Times New Roman" w:hAnsi="Times New Roman"/>
          <w:w w:val="100"/>
          <w:sz w:val="24"/>
        </w:rPr>
        <w:t xml:space="preserve"> на 4,8 и 7,6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%, а также ВЭО</w:t>
      </w:r>
      <w:r w:rsidRPr="0010270F">
        <w:rPr>
          <w:rFonts w:ascii="Times New Roman" w:hAnsi="Times New Roman"/>
          <w:w w:val="100"/>
          <w:sz w:val="24"/>
          <w:vertAlign w:val="subscript"/>
        </w:rPr>
        <w:t>2</w:t>
      </w:r>
      <w:r w:rsidRPr="0010270F">
        <w:rPr>
          <w:rFonts w:ascii="Times New Roman" w:hAnsi="Times New Roman"/>
          <w:w w:val="100"/>
          <w:sz w:val="24"/>
        </w:rPr>
        <w:t xml:space="preserve"> на 8,4 и 8,0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соответственно. У юношей при локальной гипотермии кисти температурой 24</w:t>
      </w:r>
      <w:proofErr w:type="gramStart"/>
      <w:r w:rsidRPr="0010270F">
        <w:rPr>
          <w:rFonts w:ascii="Times New Roman" w:hAnsi="Times New Roman"/>
          <w:w w:val="100"/>
          <w:sz w:val="24"/>
        </w:rPr>
        <w:t xml:space="preserve"> °С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значимо увеличился ДК на 7,8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 xml:space="preserve">%, а </w:t>
      </w:r>
      <w:proofErr w:type="spellStart"/>
      <w:r w:rsidRPr="0010270F">
        <w:rPr>
          <w:rFonts w:ascii="Times New Roman" w:hAnsi="Times New Roman"/>
          <w:w w:val="100"/>
          <w:sz w:val="24"/>
        </w:rPr>
        <w:t>холодовое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воздействие на кожу стопы вызвало значимое снижение скорости выделения углекислого газа (ВСО</w:t>
      </w:r>
      <w:r w:rsidRPr="0010270F">
        <w:rPr>
          <w:rFonts w:ascii="Times New Roman" w:hAnsi="Times New Roman"/>
          <w:w w:val="100"/>
          <w:sz w:val="24"/>
          <w:vertAlign w:val="subscript"/>
        </w:rPr>
        <w:t>2</w:t>
      </w:r>
      <w:r w:rsidRPr="0010270F">
        <w:rPr>
          <w:rFonts w:ascii="Times New Roman" w:hAnsi="Times New Roman"/>
          <w:w w:val="100"/>
          <w:sz w:val="24"/>
        </w:rPr>
        <w:t>) на 18,8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при охлаждении температурой 24 °С, а при 8 °С – на 17,1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 xml:space="preserve">%. </w:t>
      </w:r>
      <w:r w:rsidRPr="0010270F">
        <w:rPr>
          <w:rFonts w:ascii="Times New Roman" w:hAnsi="Times New Roman"/>
          <w:i/>
          <w:iCs/>
          <w:w w:val="100"/>
          <w:sz w:val="24"/>
        </w:rPr>
        <w:t>Выводы:</w:t>
      </w:r>
      <w:r w:rsidRPr="0010270F">
        <w:rPr>
          <w:rFonts w:ascii="Times New Roman" w:hAnsi="Times New Roman"/>
          <w:w w:val="100"/>
          <w:sz w:val="24"/>
        </w:rPr>
        <w:t xml:space="preserve"> реакция лёгочного газообмена на локальное охлаждение у девушек более выражена, чем у юношей, и зависит она от области охлаждения и температуры воздействия. Наиболее существенные изменения наблюдаются при локальном охлаждении стопы температурой воды, вызывающей легкое и сильное напряжение организма.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локальное охлаждение, кисть, стопа, </w:t>
      </w:r>
      <w:proofErr w:type="gramStart"/>
      <w:r w:rsidRPr="0010270F">
        <w:rPr>
          <w:rFonts w:ascii="Times New Roman" w:hAnsi="Times New Roman"/>
          <w:w w:val="100"/>
          <w:sz w:val="24"/>
        </w:rPr>
        <w:t>легочной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газообмен, молодые лица трудоспособного возраста</w:t>
      </w:r>
    </w:p>
    <w:p w:rsidR="0010270F" w:rsidRPr="0010270F" w:rsidRDefault="0010270F" w:rsidP="0010270F">
      <w:pPr>
        <w:pStyle w:val="a3"/>
        <w:rPr>
          <w:rFonts w:ascii="Times New Roman" w:hAnsi="Times New Roman"/>
          <w:b/>
          <w:bCs/>
          <w:sz w:val="24"/>
        </w:rPr>
      </w:pPr>
    </w:p>
    <w:p w:rsidR="0010270F" w:rsidRPr="00097EF3" w:rsidRDefault="0010270F" w:rsidP="0010270F">
      <w:pPr>
        <w:rPr>
          <w:rFonts w:ascii="Times New Roman" w:hAnsi="Times New Roman"/>
          <w:sz w:val="24"/>
          <w:lang w:val="en-US"/>
        </w:rPr>
      </w:pPr>
    </w:p>
    <w:p w:rsidR="0010270F" w:rsidRPr="00097EF3" w:rsidRDefault="0010270F" w:rsidP="0010270F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10270F">
        <w:rPr>
          <w:rFonts w:ascii="Times New Roman" w:hAnsi="Times New Roman"/>
          <w:sz w:val="24"/>
        </w:rPr>
        <w:lastRenderedPageBreak/>
        <w:t>УДК</w:t>
      </w:r>
      <w:r w:rsidRPr="00097EF3">
        <w:rPr>
          <w:rFonts w:ascii="Times New Roman" w:hAnsi="Times New Roman"/>
          <w:sz w:val="24"/>
          <w:lang w:val="en-US"/>
        </w:rPr>
        <w:t xml:space="preserve"> 612.821 </w:t>
      </w:r>
    </w:p>
    <w:p w:rsidR="0010270F" w:rsidRPr="0010270F" w:rsidRDefault="0010270F" w:rsidP="0010270F">
      <w:pPr>
        <w:pStyle w:val="a5"/>
        <w:spacing w:after="57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>нейроэпигенетика в методологии и технологической платформе ментальной медицины</w:t>
      </w:r>
    </w:p>
    <w:p w:rsidR="0010270F" w:rsidRPr="0010270F" w:rsidRDefault="0010270F" w:rsidP="0010270F">
      <w:pPr>
        <w:pStyle w:val="a6"/>
        <w:spacing w:after="57"/>
        <w:rPr>
          <w:rFonts w:ascii="Times New Roman" w:hAnsi="Times New Roman"/>
        </w:rPr>
      </w:pPr>
      <w:r w:rsidRPr="0010270F">
        <w:rPr>
          <w:rFonts w:ascii="Times New Roman" w:hAnsi="Times New Roman"/>
        </w:rPr>
        <w:t>© 2018 г. П. И. Сидоров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«Северный государственный медицинский университет» </w:t>
      </w:r>
      <w:r w:rsidRPr="0010270F">
        <w:rPr>
          <w:rFonts w:ascii="Times New Roman" w:hAnsi="Times New Roman"/>
          <w:w w:val="100"/>
          <w:sz w:val="24"/>
        </w:rPr>
        <w:br/>
        <w:t>Министерства здравоохранения Российской Федерации, г. Архангельск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Задачей статьи является </w:t>
      </w:r>
      <w:proofErr w:type="spellStart"/>
      <w:r w:rsidRPr="0010270F">
        <w:rPr>
          <w:rFonts w:ascii="Times New Roman" w:hAnsi="Times New Roman"/>
          <w:w w:val="100"/>
          <w:sz w:val="24"/>
        </w:rPr>
        <w:t>концептуально­методологическое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обобщение и систематизация новых исследований по </w:t>
      </w:r>
      <w:proofErr w:type="spellStart"/>
      <w:r w:rsidRPr="0010270F">
        <w:rPr>
          <w:rFonts w:ascii="Times New Roman" w:hAnsi="Times New Roman"/>
          <w:w w:val="100"/>
          <w:sz w:val="24"/>
        </w:rPr>
        <w:t>нейроэпигенетике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для развития технологической платформы ментальной медицины (</w:t>
      </w:r>
      <w:proofErr w:type="gramStart"/>
      <w:r w:rsidRPr="0010270F">
        <w:rPr>
          <w:rFonts w:ascii="Times New Roman" w:hAnsi="Times New Roman"/>
          <w:w w:val="100"/>
          <w:sz w:val="24"/>
        </w:rPr>
        <w:t>ММ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). </w:t>
      </w:r>
      <w:proofErr w:type="gramStart"/>
      <w:r w:rsidRPr="0010270F">
        <w:rPr>
          <w:rFonts w:ascii="Times New Roman" w:hAnsi="Times New Roman"/>
          <w:w w:val="100"/>
          <w:sz w:val="24"/>
        </w:rPr>
        <w:t>ММ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– один из новейших примеров переформатирования вчерашних </w:t>
      </w:r>
      <w:proofErr w:type="spellStart"/>
      <w:r w:rsidRPr="0010270F">
        <w:rPr>
          <w:rFonts w:ascii="Times New Roman" w:hAnsi="Times New Roman"/>
          <w:w w:val="100"/>
          <w:sz w:val="24"/>
        </w:rPr>
        <w:t>нозоцентрических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границ и раннего </w:t>
      </w:r>
      <w:proofErr w:type="spellStart"/>
      <w:r w:rsidRPr="0010270F">
        <w:rPr>
          <w:rFonts w:ascii="Times New Roman" w:hAnsi="Times New Roman"/>
          <w:w w:val="100"/>
          <w:sz w:val="24"/>
        </w:rPr>
        <w:t>донозологического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прогнозирования завтрашних возможных ментальных недугов. Предложено обоснование функциональной </w:t>
      </w:r>
      <w:proofErr w:type="spellStart"/>
      <w:r w:rsidRPr="0010270F">
        <w:rPr>
          <w:rFonts w:ascii="Times New Roman" w:hAnsi="Times New Roman"/>
          <w:w w:val="100"/>
          <w:sz w:val="24"/>
        </w:rPr>
        <w:t>латерализации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ментальности (ментальной асимметрии) как одного из инструментов </w:t>
      </w:r>
      <w:proofErr w:type="spellStart"/>
      <w:r w:rsidRPr="0010270F">
        <w:rPr>
          <w:rFonts w:ascii="Times New Roman" w:hAnsi="Times New Roman"/>
          <w:w w:val="100"/>
          <w:sz w:val="24"/>
        </w:rPr>
        <w:t>нейроэпигенетического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кодирования идентичности и поведения. </w:t>
      </w:r>
      <w:proofErr w:type="gramStart"/>
      <w:r w:rsidRPr="0010270F">
        <w:rPr>
          <w:rFonts w:ascii="Times New Roman" w:hAnsi="Times New Roman"/>
          <w:w w:val="100"/>
          <w:sz w:val="24"/>
        </w:rPr>
        <w:t>ММ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гармонично объединяет в своей технологической платформе генетические и эпигенетические молекулярные механизмы, </w:t>
      </w:r>
      <w:proofErr w:type="spellStart"/>
      <w:r w:rsidRPr="0010270F">
        <w:rPr>
          <w:rFonts w:ascii="Times New Roman" w:hAnsi="Times New Roman"/>
          <w:w w:val="100"/>
          <w:sz w:val="24"/>
        </w:rPr>
        <w:t>социально­психологические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10270F">
        <w:rPr>
          <w:rFonts w:ascii="Times New Roman" w:hAnsi="Times New Roman"/>
          <w:w w:val="100"/>
          <w:sz w:val="24"/>
        </w:rPr>
        <w:t>клинико­психопатологические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10270F">
        <w:rPr>
          <w:rFonts w:ascii="Times New Roman" w:hAnsi="Times New Roman"/>
          <w:w w:val="100"/>
          <w:sz w:val="24"/>
        </w:rPr>
        <w:t>духовно­нравственные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религиозно интегрированные инструменты. </w:t>
      </w:r>
      <w:proofErr w:type="gramStart"/>
      <w:r w:rsidRPr="0010270F">
        <w:rPr>
          <w:rFonts w:ascii="Times New Roman" w:hAnsi="Times New Roman"/>
          <w:w w:val="100"/>
          <w:sz w:val="24"/>
        </w:rPr>
        <w:t>Это позволяет ММ практически реализовывать вчерашние «</w:t>
      </w:r>
      <w:proofErr w:type="spellStart"/>
      <w:r w:rsidRPr="0010270F">
        <w:rPr>
          <w:rFonts w:ascii="Times New Roman" w:hAnsi="Times New Roman"/>
          <w:w w:val="100"/>
          <w:sz w:val="24"/>
        </w:rPr>
        <w:t>нейроэпигенетические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фантазирования» о редактировании и формировании дизайна сетевого каскада генетической и эпигенетической идентичности: молекулярной – клеточной – тканевой – органной – организменной – личностной – социальной – популяционной.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10270F">
        <w:rPr>
          <w:rFonts w:ascii="Times New Roman" w:hAnsi="Times New Roman"/>
          <w:w w:val="100"/>
          <w:sz w:val="24"/>
        </w:rPr>
        <w:t xml:space="preserve">Степень и вектор дисперсии геномной и </w:t>
      </w:r>
      <w:proofErr w:type="spellStart"/>
      <w:r w:rsidRPr="0010270F">
        <w:rPr>
          <w:rFonts w:ascii="Times New Roman" w:hAnsi="Times New Roman"/>
          <w:w w:val="100"/>
          <w:sz w:val="24"/>
        </w:rPr>
        <w:t>эпигеномной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идентичности отражают возможные ресурсы эволюционной изменчивости, воплощенные в регистрах ментального иммунитета (МИ) и проявляющиеся ментальным </w:t>
      </w:r>
      <w:proofErr w:type="spellStart"/>
      <w:r w:rsidRPr="0010270F">
        <w:rPr>
          <w:rFonts w:ascii="Times New Roman" w:hAnsi="Times New Roman"/>
          <w:w w:val="100"/>
          <w:sz w:val="24"/>
        </w:rPr>
        <w:t>резильянсом</w:t>
      </w:r>
      <w:proofErr w:type="spellEnd"/>
      <w:r w:rsidRPr="0010270F">
        <w:rPr>
          <w:rFonts w:ascii="Times New Roman" w:hAnsi="Times New Roman"/>
          <w:w w:val="100"/>
          <w:sz w:val="24"/>
        </w:rPr>
        <w:t>.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МИ является </w:t>
      </w:r>
      <w:proofErr w:type="spellStart"/>
      <w:r w:rsidRPr="0010270F">
        <w:rPr>
          <w:rFonts w:ascii="Times New Roman" w:hAnsi="Times New Roman"/>
          <w:w w:val="100"/>
          <w:sz w:val="24"/>
        </w:rPr>
        <w:t>нейросетевым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полисистемным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10270F">
        <w:rPr>
          <w:rFonts w:ascii="Times New Roman" w:hAnsi="Times New Roman"/>
          <w:w w:val="100"/>
          <w:sz w:val="24"/>
        </w:rPr>
        <w:t>мультимодальным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интерфейсом идентичности в ее взаимодействии с внутренней и внешней средой. Выделенные функциональные характеристики МИ модулируются эпигенетическими переключателями или метками, воплощаясь в поведенческой феноменологии. Эпидемический рост распространенности психических и психосоматических расстрой</w:t>
      </w:r>
      <w:proofErr w:type="gramStart"/>
      <w:r w:rsidRPr="0010270F">
        <w:rPr>
          <w:rFonts w:ascii="Times New Roman" w:hAnsi="Times New Roman"/>
          <w:w w:val="100"/>
          <w:sz w:val="24"/>
        </w:rPr>
        <w:t>ств пр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едложено называть пандемией ментального иммунодефицита (ПМИД) по названию самого раннего и неспецифического синдрома ментального иммунодефицита (СМИД), аккумулирующего начальные проявления </w:t>
      </w:r>
      <w:proofErr w:type="spellStart"/>
      <w:r w:rsidRPr="0010270F">
        <w:rPr>
          <w:rFonts w:ascii="Times New Roman" w:hAnsi="Times New Roman"/>
          <w:w w:val="100"/>
          <w:sz w:val="24"/>
        </w:rPr>
        <w:t>транспоколенчески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накопленных дисфункций МИ. </w:t>
      </w:r>
      <w:proofErr w:type="gramStart"/>
      <w:r w:rsidRPr="0010270F">
        <w:rPr>
          <w:rFonts w:ascii="Times New Roman" w:hAnsi="Times New Roman"/>
          <w:w w:val="100"/>
          <w:sz w:val="24"/>
        </w:rPr>
        <w:t xml:space="preserve">Глобальными предикторами ПМИД стали многие вызовы современного мира: от психической </w:t>
      </w:r>
      <w:proofErr w:type="spellStart"/>
      <w:r w:rsidRPr="0010270F">
        <w:rPr>
          <w:rFonts w:ascii="Times New Roman" w:hAnsi="Times New Roman"/>
          <w:w w:val="100"/>
          <w:sz w:val="24"/>
        </w:rPr>
        <w:t>травматизации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детства до </w:t>
      </w:r>
      <w:proofErr w:type="spellStart"/>
      <w:r w:rsidRPr="0010270F">
        <w:rPr>
          <w:rFonts w:ascii="Times New Roman" w:hAnsi="Times New Roman"/>
          <w:w w:val="100"/>
          <w:sz w:val="24"/>
        </w:rPr>
        <w:t>комулятивного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экзистенционального стресса.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В </w:t>
      </w:r>
      <w:proofErr w:type="gramStart"/>
      <w:r w:rsidRPr="0010270F">
        <w:rPr>
          <w:rFonts w:ascii="Times New Roman" w:hAnsi="Times New Roman"/>
          <w:w w:val="100"/>
          <w:sz w:val="24"/>
        </w:rPr>
        <w:t>ММ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саногенетическая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терапия как адаптивная модуляция МИ запускает каскадное самообновление идентичности, клинически проявляющееся ее терапевтическим дрейфом (диагнозы – синдромы – симптомы – состояния). Известное выражение Нобелевского лауреата Питера </w:t>
      </w:r>
      <w:proofErr w:type="spellStart"/>
      <w:r w:rsidRPr="0010270F">
        <w:rPr>
          <w:rFonts w:ascii="Times New Roman" w:hAnsi="Times New Roman"/>
          <w:w w:val="100"/>
          <w:sz w:val="24"/>
        </w:rPr>
        <w:t>Медавара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: </w:t>
      </w:r>
      <w:proofErr w:type="gramStart"/>
      <w:r w:rsidRPr="0010270F">
        <w:rPr>
          <w:rFonts w:ascii="Times New Roman" w:hAnsi="Times New Roman"/>
          <w:w w:val="100"/>
          <w:sz w:val="24"/>
        </w:rPr>
        <w:t xml:space="preserve">«Генетика предполагает, а </w:t>
      </w:r>
      <w:proofErr w:type="spellStart"/>
      <w:r w:rsidRPr="0010270F">
        <w:rPr>
          <w:rFonts w:ascii="Times New Roman" w:hAnsi="Times New Roman"/>
          <w:w w:val="100"/>
          <w:sz w:val="24"/>
        </w:rPr>
        <w:t>эпигенетика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располагает» уместно дополнить практически значимой миссией ММ, которая воплощает проектные модели образа и смысла жизни в адаптивном </w:t>
      </w:r>
      <w:proofErr w:type="spellStart"/>
      <w:r w:rsidRPr="0010270F">
        <w:rPr>
          <w:rFonts w:ascii="Times New Roman" w:hAnsi="Times New Roman"/>
          <w:w w:val="100"/>
          <w:sz w:val="24"/>
        </w:rPr>
        <w:t>нейроинжиниринге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10270F">
        <w:rPr>
          <w:rFonts w:ascii="Times New Roman" w:hAnsi="Times New Roman"/>
          <w:w w:val="100"/>
          <w:sz w:val="24"/>
        </w:rPr>
        <w:t>самоменеджменте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сознания и здоровья. </w:t>
      </w:r>
      <w:proofErr w:type="gramEnd"/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0270F">
        <w:rPr>
          <w:rFonts w:ascii="Times New Roman" w:hAnsi="Times New Roman"/>
          <w:w w:val="100"/>
          <w:sz w:val="24"/>
        </w:rPr>
        <w:t>нейроэпигенетика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ментальная асимметрия, сетевой каскад идентичности, пандемия ментального иммунодефицита, адаптивный </w:t>
      </w:r>
      <w:proofErr w:type="spellStart"/>
      <w:r w:rsidRPr="0010270F">
        <w:rPr>
          <w:rFonts w:ascii="Times New Roman" w:hAnsi="Times New Roman"/>
          <w:w w:val="100"/>
          <w:sz w:val="24"/>
        </w:rPr>
        <w:t>нейроинжиниринг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10270F">
        <w:rPr>
          <w:rFonts w:ascii="Times New Roman" w:hAnsi="Times New Roman"/>
          <w:w w:val="100"/>
          <w:sz w:val="24"/>
        </w:rPr>
        <w:t>саногенетическая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терапия </w:t>
      </w:r>
    </w:p>
    <w:p w:rsidR="0010270F" w:rsidRPr="0010270F" w:rsidRDefault="0010270F" w:rsidP="0010270F">
      <w:pPr>
        <w:pStyle w:val="a3"/>
        <w:rPr>
          <w:rFonts w:ascii="Times New Roman" w:hAnsi="Times New Roman"/>
          <w:sz w:val="24"/>
        </w:rPr>
      </w:pPr>
    </w:p>
    <w:p w:rsidR="0010270F" w:rsidRPr="00097EF3" w:rsidRDefault="0010270F" w:rsidP="0010270F">
      <w:pPr>
        <w:rPr>
          <w:rFonts w:ascii="Times New Roman" w:hAnsi="Times New Roman"/>
          <w:sz w:val="24"/>
          <w:lang w:val="en-US"/>
        </w:rPr>
      </w:pPr>
    </w:p>
    <w:p w:rsidR="0010270F" w:rsidRPr="00097EF3" w:rsidRDefault="0010270F" w:rsidP="0010270F">
      <w:pPr>
        <w:rPr>
          <w:rFonts w:ascii="Times New Roman" w:hAnsi="Times New Roman"/>
          <w:sz w:val="24"/>
          <w:lang w:val="en-US"/>
        </w:rPr>
      </w:pPr>
    </w:p>
    <w:p w:rsidR="0010270F" w:rsidRPr="00097EF3" w:rsidRDefault="0010270F" w:rsidP="0010270F">
      <w:pPr>
        <w:pStyle w:val="a4"/>
        <w:rPr>
          <w:rFonts w:ascii="Times New Roman" w:hAnsi="Times New Roman"/>
          <w:sz w:val="24"/>
          <w:lang w:val="en-US"/>
        </w:rPr>
      </w:pPr>
      <w:r w:rsidRPr="0010270F">
        <w:rPr>
          <w:rFonts w:ascii="Times New Roman" w:hAnsi="Times New Roman"/>
          <w:sz w:val="24"/>
        </w:rPr>
        <w:t>УДК</w:t>
      </w:r>
      <w:r w:rsidRPr="00097EF3">
        <w:rPr>
          <w:rFonts w:ascii="Times New Roman" w:hAnsi="Times New Roman"/>
          <w:sz w:val="24"/>
          <w:lang w:val="en-US"/>
        </w:rPr>
        <w:t xml:space="preserve"> 612.821.7</w:t>
      </w:r>
      <w:r w:rsidRPr="00097EF3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097EF3">
        <w:rPr>
          <w:rFonts w:ascii="Times New Roman" w:hAnsi="Times New Roman"/>
          <w:sz w:val="24"/>
          <w:lang w:val="en-US"/>
        </w:rPr>
        <w:t>+</w:t>
      </w:r>
      <w:r w:rsidRPr="00097EF3">
        <w:rPr>
          <w:rFonts w:ascii="Times New Roman" w:eastAsia="MS Mincho" w:hAnsi="MS Mincho" w:cs="MS Mincho" w:hint="eastAsia"/>
          <w:sz w:val="24"/>
          <w:lang w:val="en-US"/>
        </w:rPr>
        <w:t> </w:t>
      </w:r>
      <w:r w:rsidRPr="00097EF3">
        <w:rPr>
          <w:rFonts w:ascii="Times New Roman" w:hAnsi="Times New Roman"/>
          <w:sz w:val="24"/>
          <w:lang w:val="en-US"/>
        </w:rPr>
        <w:t>613.79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>ПРОЦЕСС ЗАСЫПАНИЯ У ЛЮДЕЙ ПРИ ПРОСЛУШИВАНИИ РАЗЛИЧНЫХ ВИДОВ МОНОТОННОГО ЗВУКА: ПИЛОТНОЕ ИССЛЕДОВАНИЕ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</w:t>
      </w:r>
      <w:r w:rsidRPr="0010270F">
        <w:rPr>
          <w:rFonts w:ascii="Times New Roman" w:hAnsi="Times New Roman"/>
          <w:vertAlign w:val="superscript"/>
        </w:rPr>
        <w:t>1</w:t>
      </w:r>
      <w:r w:rsidRPr="0010270F">
        <w:rPr>
          <w:rFonts w:ascii="Times New Roman" w:hAnsi="Times New Roman"/>
        </w:rPr>
        <w:t xml:space="preserve">Д. Е. Шумов, </w:t>
      </w:r>
      <w:r w:rsidRPr="0010270F">
        <w:rPr>
          <w:rFonts w:ascii="Times New Roman" w:hAnsi="Times New Roman"/>
          <w:vertAlign w:val="superscript"/>
        </w:rPr>
        <w:t>2</w:t>
      </w:r>
      <w:r w:rsidRPr="0010270F">
        <w:rPr>
          <w:rFonts w:ascii="Times New Roman" w:hAnsi="Times New Roman"/>
        </w:rPr>
        <w:t xml:space="preserve">Д. С. Свешников, </w:t>
      </w:r>
      <w:r w:rsidRPr="0010270F">
        <w:rPr>
          <w:rFonts w:ascii="Times New Roman" w:hAnsi="Times New Roman"/>
          <w:vertAlign w:val="superscript"/>
        </w:rPr>
        <w:t>2</w:t>
      </w:r>
      <w:r w:rsidRPr="0010270F">
        <w:rPr>
          <w:rFonts w:ascii="Times New Roman" w:hAnsi="Times New Roman"/>
        </w:rPr>
        <w:t xml:space="preserve">В. И. </w:t>
      </w:r>
      <w:proofErr w:type="spellStart"/>
      <w:r w:rsidRPr="0010270F">
        <w:rPr>
          <w:rFonts w:ascii="Times New Roman" w:hAnsi="Times New Roman"/>
        </w:rPr>
        <w:t>Торшин</w:t>
      </w:r>
      <w:proofErr w:type="spellEnd"/>
      <w:r w:rsidRPr="0010270F">
        <w:rPr>
          <w:rFonts w:ascii="Times New Roman" w:hAnsi="Times New Roman"/>
        </w:rPr>
        <w:t xml:space="preserve">, </w:t>
      </w:r>
      <w:r w:rsidRPr="0010270F">
        <w:rPr>
          <w:rFonts w:ascii="Times New Roman" w:hAnsi="Times New Roman"/>
          <w:vertAlign w:val="superscript"/>
        </w:rPr>
        <w:t>1</w:t>
      </w:r>
      <w:r w:rsidRPr="0010270F">
        <w:rPr>
          <w:rFonts w:ascii="Times New Roman" w:hAnsi="Times New Roman"/>
        </w:rPr>
        <w:t>В. Б. Дорохов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  <w:vertAlign w:val="superscript"/>
        </w:rPr>
        <w:t>1</w:t>
      </w:r>
      <w:r w:rsidRPr="0010270F">
        <w:rPr>
          <w:rFonts w:ascii="Times New Roman" w:hAnsi="Times New Roman"/>
          <w:w w:val="100"/>
          <w:sz w:val="24"/>
        </w:rPr>
        <w:t xml:space="preserve">ФБГУ «Институт высшей нервной деятельности и нейрофизиологии РАН», г. Москва; </w:t>
      </w:r>
      <w:r w:rsidRPr="0010270F">
        <w:rPr>
          <w:rFonts w:ascii="Times New Roman" w:hAnsi="Times New Roman"/>
          <w:w w:val="100"/>
          <w:sz w:val="24"/>
        </w:rPr>
        <w:br/>
      </w:r>
      <w:r w:rsidRPr="0010270F">
        <w:rPr>
          <w:rFonts w:ascii="Times New Roman" w:hAnsi="Times New Roman"/>
          <w:w w:val="100"/>
          <w:sz w:val="24"/>
          <w:vertAlign w:val="superscript"/>
        </w:rPr>
        <w:t>2</w:t>
      </w:r>
      <w:r w:rsidRPr="0010270F">
        <w:rPr>
          <w:rFonts w:ascii="Times New Roman" w:hAnsi="Times New Roman"/>
          <w:w w:val="100"/>
          <w:sz w:val="24"/>
        </w:rPr>
        <w:t xml:space="preserve">Медицинский институт ФГАОУ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«Российский университет дружбы народов», г. Москва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При разработке </w:t>
      </w:r>
      <w:proofErr w:type="spellStart"/>
      <w:r w:rsidRPr="0010270F">
        <w:rPr>
          <w:rFonts w:ascii="Times New Roman" w:hAnsi="Times New Roman"/>
          <w:w w:val="100"/>
          <w:sz w:val="24"/>
        </w:rPr>
        <w:t>неинвазивных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средств улучшения сна человека необходимо уделять внимание методам уменьшения и стабилизации времени засыпания, иначе попытки воздействовать на дальнейший сон теряют смысл. </w:t>
      </w:r>
      <w:proofErr w:type="gramStart"/>
      <w:r w:rsidRPr="0010270F">
        <w:rPr>
          <w:rFonts w:ascii="Times New Roman" w:hAnsi="Times New Roman"/>
          <w:i/>
          <w:iCs/>
          <w:w w:val="100"/>
          <w:sz w:val="24"/>
        </w:rPr>
        <w:t>Целью</w:t>
      </w:r>
      <w:r w:rsidRPr="0010270F">
        <w:rPr>
          <w:rFonts w:ascii="Times New Roman" w:hAnsi="Times New Roman"/>
          <w:w w:val="100"/>
          <w:sz w:val="24"/>
        </w:rPr>
        <w:t xml:space="preserve"> данного исследования было сравнение эффективности, в качестве такого метода, прослушивания через стереонаушники трёх видов монотонного звука, а именно: звука, порождающего так называемые «бинауральные» биения (ББ), звука, содержащего обычные («</w:t>
      </w:r>
      <w:proofErr w:type="spellStart"/>
      <w:r w:rsidRPr="0010270F">
        <w:rPr>
          <w:rFonts w:ascii="Times New Roman" w:hAnsi="Times New Roman"/>
          <w:w w:val="100"/>
          <w:sz w:val="24"/>
        </w:rPr>
        <w:t>монауральные</w:t>
      </w:r>
      <w:proofErr w:type="spellEnd"/>
      <w:r w:rsidRPr="0010270F">
        <w:rPr>
          <w:rFonts w:ascii="Times New Roman" w:hAnsi="Times New Roman"/>
          <w:w w:val="100"/>
          <w:sz w:val="24"/>
        </w:rPr>
        <w:t>») биения (МБ), и звука, состоящего из чистых тонов без биений (имитации, ИМ).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</w:t>
      </w:r>
      <w:r w:rsidRPr="0010270F">
        <w:rPr>
          <w:rFonts w:ascii="Times New Roman" w:hAnsi="Times New Roman"/>
          <w:i/>
          <w:iCs/>
          <w:w w:val="100"/>
          <w:sz w:val="24"/>
        </w:rPr>
        <w:t xml:space="preserve">Методы. </w:t>
      </w:r>
      <w:r w:rsidRPr="0010270F">
        <w:rPr>
          <w:rFonts w:ascii="Times New Roman" w:hAnsi="Times New Roman"/>
          <w:w w:val="100"/>
          <w:sz w:val="24"/>
        </w:rPr>
        <w:t xml:space="preserve">Производился анализ </w:t>
      </w:r>
      <w:proofErr w:type="spellStart"/>
      <w:r w:rsidRPr="0010270F">
        <w:rPr>
          <w:rFonts w:ascii="Times New Roman" w:hAnsi="Times New Roman"/>
          <w:w w:val="100"/>
          <w:sz w:val="24"/>
        </w:rPr>
        <w:t>полисомнографических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данных (ЭЭГ и движений глаз), полученных в процессе засыпания 14 испытуемых при прослушивании этих трёх видов звука, и сравнивалось соответствующее каждому виду время засыпания. </w:t>
      </w:r>
      <w:r w:rsidRPr="0010270F">
        <w:rPr>
          <w:rFonts w:ascii="Times New Roman" w:hAnsi="Times New Roman"/>
          <w:i/>
          <w:iCs/>
          <w:w w:val="100"/>
          <w:sz w:val="24"/>
        </w:rPr>
        <w:t xml:space="preserve">Результаты. </w:t>
      </w:r>
      <w:r w:rsidRPr="0010270F">
        <w:rPr>
          <w:rFonts w:ascii="Times New Roman" w:hAnsi="Times New Roman"/>
          <w:w w:val="100"/>
          <w:sz w:val="24"/>
        </w:rPr>
        <w:t xml:space="preserve">При </w:t>
      </w:r>
      <w:proofErr w:type="spellStart"/>
      <w:r w:rsidRPr="0010270F">
        <w:rPr>
          <w:rFonts w:ascii="Times New Roman" w:hAnsi="Times New Roman"/>
          <w:w w:val="100"/>
          <w:sz w:val="24"/>
        </w:rPr>
        <w:t>ББ­стимуляции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время засыпания по сравнению </w:t>
      </w:r>
      <w:proofErr w:type="gramStart"/>
      <w:r w:rsidRPr="0010270F">
        <w:rPr>
          <w:rFonts w:ascii="Times New Roman" w:hAnsi="Times New Roman"/>
          <w:w w:val="100"/>
          <w:sz w:val="24"/>
        </w:rPr>
        <w:t>с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10270F">
        <w:rPr>
          <w:rFonts w:ascii="Times New Roman" w:hAnsi="Times New Roman"/>
          <w:w w:val="100"/>
          <w:sz w:val="24"/>
        </w:rPr>
        <w:t>ИМ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было меньше у 10 испытуемых из 14; при </w:t>
      </w:r>
      <w:proofErr w:type="spellStart"/>
      <w:r w:rsidRPr="0010270F">
        <w:rPr>
          <w:rFonts w:ascii="Times New Roman" w:hAnsi="Times New Roman"/>
          <w:w w:val="100"/>
          <w:sz w:val="24"/>
        </w:rPr>
        <w:t>МБ­стимуляции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– у 5 испытуемых из 14. Время засыпания в серии с </w:t>
      </w:r>
      <w:proofErr w:type="spellStart"/>
      <w:r w:rsidRPr="0010270F">
        <w:rPr>
          <w:rFonts w:ascii="Times New Roman" w:hAnsi="Times New Roman"/>
          <w:w w:val="100"/>
          <w:sz w:val="24"/>
        </w:rPr>
        <w:t>ББ­стимуляцией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статистически значимо (</w:t>
      </w:r>
      <w:proofErr w:type="spellStart"/>
      <w:r w:rsidRPr="0010270F">
        <w:rPr>
          <w:rFonts w:ascii="Times New Roman" w:hAnsi="Times New Roman"/>
          <w:w w:val="100"/>
          <w:sz w:val="24"/>
        </w:rPr>
        <w:t>p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&lt; 0,05) меньше, чем </w:t>
      </w:r>
      <w:proofErr w:type="gramStart"/>
      <w:r w:rsidRPr="0010270F">
        <w:rPr>
          <w:rFonts w:ascii="Times New Roman" w:hAnsi="Times New Roman"/>
          <w:w w:val="100"/>
          <w:sz w:val="24"/>
        </w:rPr>
        <w:t>в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spellStart"/>
      <w:proofErr w:type="gramStart"/>
      <w:r w:rsidRPr="0010270F">
        <w:rPr>
          <w:rFonts w:ascii="Times New Roman" w:hAnsi="Times New Roman"/>
          <w:w w:val="100"/>
          <w:sz w:val="24"/>
        </w:rPr>
        <w:t>ИМ</w:t>
      </w:r>
      <w:proofErr w:type="gramEnd"/>
      <w:r w:rsidRPr="0010270F">
        <w:rPr>
          <w:rFonts w:ascii="Times New Roman" w:hAnsi="Times New Roman"/>
          <w:w w:val="100"/>
          <w:sz w:val="24"/>
        </w:rPr>
        <w:t>­серии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Значимых отличий времени засыпания в серии с </w:t>
      </w:r>
      <w:proofErr w:type="spellStart"/>
      <w:r w:rsidRPr="0010270F">
        <w:rPr>
          <w:rFonts w:ascii="Times New Roman" w:hAnsi="Times New Roman"/>
          <w:w w:val="100"/>
          <w:sz w:val="24"/>
        </w:rPr>
        <w:t>МБ­стимуляцией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по сравнению с </w:t>
      </w:r>
      <w:proofErr w:type="gramStart"/>
      <w:r w:rsidRPr="0010270F">
        <w:rPr>
          <w:rFonts w:ascii="Times New Roman" w:hAnsi="Times New Roman"/>
          <w:w w:val="100"/>
          <w:sz w:val="24"/>
        </w:rPr>
        <w:t>ИМ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нет. </w:t>
      </w:r>
      <w:r w:rsidRPr="0010270F">
        <w:rPr>
          <w:rFonts w:ascii="Times New Roman" w:hAnsi="Times New Roman"/>
          <w:i/>
          <w:iCs/>
          <w:w w:val="100"/>
          <w:sz w:val="24"/>
        </w:rPr>
        <w:t>Вывод.</w:t>
      </w:r>
      <w:r w:rsidRPr="0010270F">
        <w:rPr>
          <w:rFonts w:ascii="Times New Roman" w:hAnsi="Times New Roman"/>
          <w:w w:val="100"/>
          <w:sz w:val="24"/>
        </w:rPr>
        <w:t xml:space="preserve"> Стимуляция бинауральными биениями даёт наименьшее время засыпания как по сравнению со звуком, содержащим обычные акустические (</w:t>
      </w:r>
      <w:proofErr w:type="spellStart"/>
      <w:r w:rsidRPr="0010270F">
        <w:rPr>
          <w:rFonts w:ascii="Times New Roman" w:hAnsi="Times New Roman"/>
          <w:w w:val="100"/>
          <w:sz w:val="24"/>
        </w:rPr>
        <w:t>монауральные</w:t>
      </w:r>
      <w:proofErr w:type="spellEnd"/>
      <w:r w:rsidRPr="0010270F">
        <w:rPr>
          <w:rFonts w:ascii="Times New Roman" w:hAnsi="Times New Roman"/>
          <w:w w:val="100"/>
          <w:sz w:val="24"/>
        </w:rPr>
        <w:t>) биения, так и по сравнению с монотонным звуком без биений.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бинауральные биения, засыпание, </w:t>
      </w:r>
      <w:proofErr w:type="spellStart"/>
      <w:r w:rsidRPr="0010270F">
        <w:rPr>
          <w:rFonts w:ascii="Times New Roman" w:hAnsi="Times New Roman"/>
          <w:w w:val="100"/>
          <w:sz w:val="24"/>
        </w:rPr>
        <w:t>инсомния</w:t>
      </w:r>
      <w:proofErr w:type="spellEnd"/>
      <w:r w:rsidRPr="0010270F">
        <w:rPr>
          <w:rFonts w:ascii="Times New Roman" w:hAnsi="Times New Roman"/>
          <w:w w:val="100"/>
          <w:sz w:val="24"/>
        </w:rPr>
        <w:t>, ЭЭГ</w:t>
      </w:r>
    </w:p>
    <w:p w:rsidR="0010270F" w:rsidRPr="0010270F" w:rsidRDefault="0010270F" w:rsidP="0010270F">
      <w:pPr>
        <w:pStyle w:val="a3"/>
        <w:rPr>
          <w:rFonts w:ascii="Times New Roman" w:hAnsi="Times New Roman"/>
          <w:sz w:val="24"/>
        </w:rPr>
      </w:pPr>
    </w:p>
    <w:p w:rsidR="0010270F" w:rsidRPr="00097EF3" w:rsidRDefault="0010270F" w:rsidP="0010270F">
      <w:pPr>
        <w:rPr>
          <w:rFonts w:ascii="Times New Roman" w:hAnsi="Times New Roman"/>
          <w:sz w:val="24"/>
          <w:lang w:val="en-US"/>
        </w:rPr>
      </w:pPr>
    </w:p>
    <w:p w:rsidR="0010270F" w:rsidRPr="0010270F" w:rsidRDefault="0010270F" w:rsidP="0010270F">
      <w:pPr>
        <w:pStyle w:val="a4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>УДК 616.441­006.5(571.63)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РАСПРОСТРАНЕННОСТЬ ДИФФУЗНОГО ЭНДЕМИЧЕСКОГО ЗОБА </w:t>
      </w:r>
      <w:r w:rsidRPr="0010270F">
        <w:rPr>
          <w:rFonts w:ascii="Times New Roman" w:hAnsi="Times New Roman"/>
          <w:sz w:val="24"/>
        </w:rPr>
        <w:br/>
        <w:t xml:space="preserve">У НАСЕЛЕНИЯ ПРИМОРСКОГО КРАЯ 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К. В. Кондратьев, П. Ф. Кику, Б. Г. </w:t>
      </w:r>
      <w:proofErr w:type="spellStart"/>
      <w:r w:rsidRPr="0010270F">
        <w:rPr>
          <w:rFonts w:ascii="Times New Roman" w:hAnsi="Times New Roman"/>
        </w:rPr>
        <w:t>Андрюков</w:t>
      </w:r>
      <w:proofErr w:type="spellEnd"/>
      <w:r w:rsidRPr="0010270F">
        <w:rPr>
          <w:rFonts w:ascii="Times New Roman" w:hAnsi="Times New Roman"/>
        </w:rPr>
        <w:t xml:space="preserve">, В. Г. </w:t>
      </w:r>
      <w:proofErr w:type="spellStart"/>
      <w:r w:rsidRPr="0010270F">
        <w:rPr>
          <w:rFonts w:ascii="Times New Roman" w:hAnsi="Times New Roman"/>
        </w:rPr>
        <w:t>Морева</w:t>
      </w:r>
      <w:proofErr w:type="spellEnd"/>
      <w:r w:rsidRPr="0010270F">
        <w:rPr>
          <w:rFonts w:ascii="Times New Roman" w:hAnsi="Times New Roman"/>
        </w:rPr>
        <w:t xml:space="preserve">, К. М. </w:t>
      </w:r>
      <w:proofErr w:type="spellStart"/>
      <w:r w:rsidRPr="0010270F">
        <w:rPr>
          <w:rFonts w:ascii="Times New Roman" w:hAnsi="Times New Roman"/>
        </w:rPr>
        <w:t>Сабирова</w:t>
      </w:r>
      <w:proofErr w:type="spellEnd"/>
      <w:r w:rsidRPr="0010270F">
        <w:rPr>
          <w:rFonts w:ascii="Times New Roman" w:hAnsi="Times New Roman"/>
        </w:rPr>
        <w:t xml:space="preserve"> 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</w:rPr>
        <w:t xml:space="preserve">ФГАОУ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«Дальневосточный федеральный университет», Школа биомедицины, </w:t>
      </w:r>
      <w:r w:rsidRPr="0010270F">
        <w:rPr>
          <w:rFonts w:ascii="Times New Roman" w:hAnsi="Times New Roman"/>
          <w:w w:val="100"/>
          <w:sz w:val="24"/>
        </w:rPr>
        <w:br/>
        <w:t xml:space="preserve">г. Владивосток, Российская Федерация 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i/>
          <w:iCs/>
          <w:w w:val="100"/>
          <w:sz w:val="24"/>
        </w:rPr>
        <w:lastRenderedPageBreak/>
        <w:t>Цель</w:t>
      </w:r>
      <w:r w:rsidRPr="0010270F">
        <w:rPr>
          <w:rFonts w:ascii="Times New Roman" w:hAnsi="Times New Roman"/>
          <w:w w:val="100"/>
          <w:sz w:val="24"/>
        </w:rPr>
        <w:t xml:space="preserve"> – выявить закономерности распространения заболеваемости диффузным эндемическим зобом подросткового и взрослого населения, проживающего в различных биоклиматических зонах и экологической ситуации Приморского края. Применены методы описательной статистики и </w:t>
      </w:r>
      <w:proofErr w:type="spellStart"/>
      <w:r w:rsidRPr="0010270F">
        <w:rPr>
          <w:rFonts w:ascii="Times New Roman" w:hAnsi="Times New Roman"/>
          <w:w w:val="100"/>
          <w:sz w:val="24"/>
        </w:rPr>
        <w:t>эколого­гигиенической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оценки. Для оценки достоверности разности показателей использован критерий Пирсона. Ранее проведенными исследованиями территория края была классифицирована на биоклиматические зоны и зоны экологической ситуации.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Результаты.</w:t>
      </w:r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10270F">
        <w:rPr>
          <w:rFonts w:ascii="Times New Roman" w:hAnsi="Times New Roman"/>
          <w:w w:val="100"/>
          <w:sz w:val="24"/>
        </w:rPr>
        <w:t>Установлено, что в континентальной и прибрежной биоклиматических зонах с относительно благоприятным уровнем экологической ситуации заболеваемость исследуемой нозологией была выше (в диапазоне 1 699,1–2 399,9 на 100 000 подросткового населения; 702,7–290,1 на 100 000 взрослого населения), чем в районах с относительно удовлетворительным и напряженным уровнем экологической ситуации (93,6–1 423,2 на 100 000 подросткового населения;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10270F">
        <w:rPr>
          <w:rFonts w:ascii="Times New Roman" w:hAnsi="Times New Roman"/>
          <w:w w:val="100"/>
          <w:sz w:val="24"/>
        </w:rPr>
        <w:t>46,5–668,6 на 100 000 взрослого населения).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В переходной биоклиматической зоне высокий уровень заболеваемости отмечался при критической (4 844,7 у подростков, 617,0 у взрослых) и напряженной (1 736,5 у подростков, 490,1 у взрослых) экологической ситуации. </w:t>
      </w:r>
      <w:r w:rsidRPr="0010270F">
        <w:rPr>
          <w:rFonts w:ascii="Times New Roman" w:hAnsi="Times New Roman"/>
          <w:i/>
          <w:iCs/>
          <w:w w:val="100"/>
          <w:sz w:val="24"/>
        </w:rPr>
        <w:t>Выводы.</w:t>
      </w:r>
      <w:r w:rsidRPr="0010270F">
        <w:rPr>
          <w:rFonts w:ascii="Times New Roman" w:hAnsi="Times New Roman"/>
          <w:w w:val="100"/>
          <w:sz w:val="24"/>
        </w:rPr>
        <w:t xml:space="preserve"> Выявленная закономерность позволяет предположить наличие ранее не учитываемой группы факторов, играющих роль в формировании патологий щитовидной железы, ассоциированных с дефицитом йода, у населения края, изучение их воздействия на население поможет сформировать более полную картину зависимости возникновения </w:t>
      </w:r>
      <w:proofErr w:type="spellStart"/>
      <w:r w:rsidRPr="0010270F">
        <w:rPr>
          <w:rFonts w:ascii="Times New Roman" w:hAnsi="Times New Roman"/>
          <w:w w:val="100"/>
          <w:sz w:val="24"/>
        </w:rPr>
        <w:t>йоддефицитных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заболеваний от факторов внешней среды в регионе. 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Приморский край, диффузный зоб, эндемический зоб, </w:t>
      </w:r>
      <w:proofErr w:type="spellStart"/>
      <w:r w:rsidRPr="0010270F">
        <w:rPr>
          <w:rFonts w:ascii="Times New Roman" w:hAnsi="Times New Roman"/>
          <w:w w:val="100"/>
          <w:sz w:val="24"/>
        </w:rPr>
        <w:t>йоддефицитные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 заболевания, щитовидная железа</w:t>
      </w:r>
    </w:p>
    <w:p w:rsidR="0010270F" w:rsidRPr="0010270F" w:rsidRDefault="0010270F" w:rsidP="0010270F">
      <w:pPr>
        <w:pStyle w:val="a3"/>
        <w:rPr>
          <w:rFonts w:ascii="Times New Roman" w:hAnsi="Times New Roman"/>
          <w:sz w:val="24"/>
        </w:rPr>
      </w:pPr>
    </w:p>
    <w:p w:rsidR="0010270F" w:rsidRPr="0010270F" w:rsidRDefault="0010270F" w:rsidP="0010270F">
      <w:pPr>
        <w:rPr>
          <w:rFonts w:ascii="Times New Roman" w:hAnsi="Times New Roman"/>
          <w:sz w:val="24"/>
        </w:rPr>
      </w:pPr>
    </w:p>
    <w:p w:rsidR="0010270F" w:rsidRPr="0010270F" w:rsidRDefault="0010270F" w:rsidP="0010270F">
      <w:pPr>
        <w:pStyle w:val="a4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caps/>
          <w:sz w:val="24"/>
        </w:rPr>
        <w:t>Удк [616.351­006.6­073.56­036</w:t>
      </w:r>
      <w:r w:rsidRPr="0010270F">
        <w:rPr>
          <w:rFonts w:ascii="Times New Roman" w:eastAsia="MS Mincho" w:hAnsi="MS Mincho" w:cs="MS Mincho" w:hint="eastAsia"/>
          <w:caps/>
          <w:sz w:val="24"/>
        </w:rPr>
        <w:t> </w:t>
      </w:r>
      <w:r w:rsidRPr="0010270F">
        <w:rPr>
          <w:rFonts w:ascii="Times New Roman" w:hAnsi="Times New Roman"/>
          <w:caps/>
          <w:sz w:val="24"/>
        </w:rPr>
        <w:t>:</w:t>
      </w:r>
      <w:r w:rsidRPr="0010270F">
        <w:rPr>
          <w:rFonts w:ascii="Times New Roman" w:eastAsia="MS Mincho" w:hAnsi="MS Mincho" w:cs="MS Mincho" w:hint="eastAsia"/>
          <w:caps/>
          <w:sz w:val="24"/>
        </w:rPr>
        <w:t> </w:t>
      </w:r>
      <w:r w:rsidRPr="0010270F">
        <w:rPr>
          <w:rFonts w:ascii="Times New Roman" w:hAnsi="Times New Roman"/>
          <w:caps/>
          <w:sz w:val="24"/>
        </w:rPr>
        <w:t>314.4]</w:t>
      </w:r>
      <w:r w:rsidRPr="0010270F">
        <w:rPr>
          <w:rFonts w:ascii="Times New Roman" w:eastAsia="MS Mincho" w:hAnsi="MS Mincho" w:cs="MS Mincho" w:hint="eastAsia"/>
          <w:caps/>
          <w:sz w:val="24"/>
        </w:rPr>
        <w:t> </w:t>
      </w:r>
      <w:r w:rsidRPr="0010270F">
        <w:rPr>
          <w:rFonts w:ascii="Times New Roman" w:hAnsi="Times New Roman"/>
          <w:caps/>
          <w:sz w:val="24"/>
        </w:rPr>
        <w:t>(470.11)</w:t>
      </w:r>
    </w:p>
    <w:p w:rsidR="0010270F" w:rsidRPr="0010270F" w:rsidRDefault="0010270F" w:rsidP="0010270F">
      <w:pPr>
        <w:pStyle w:val="a5"/>
        <w:rPr>
          <w:rFonts w:ascii="Times New Roman" w:hAnsi="Times New Roman"/>
          <w:sz w:val="24"/>
        </w:rPr>
      </w:pPr>
      <w:r w:rsidRPr="0010270F">
        <w:rPr>
          <w:rFonts w:ascii="Times New Roman" w:hAnsi="Times New Roman"/>
          <w:sz w:val="24"/>
        </w:rPr>
        <w:t xml:space="preserve">Динамика заболеваемости и смертности при раке прямой кишки </w:t>
      </w:r>
      <w:r w:rsidRPr="0010270F">
        <w:rPr>
          <w:rFonts w:ascii="Times New Roman" w:hAnsi="Times New Roman"/>
          <w:sz w:val="24"/>
        </w:rPr>
        <w:br/>
        <w:t xml:space="preserve">в 2000­2015 годах в Архангельской области </w:t>
      </w:r>
      <w:r w:rsidRPr="0010270F">
        <w:rPr>
          <w:rFonts w:ascii="Times New Roman" w:hAnsi="Times New Roman"/>
          <w:sz w:val="24"/>
        </w:rPr>
        <w:br/>
        <w:t>по данным областного канцер­регистра</w:t>
      </w:r>
    </w:p>
    <w:p w:rsidR="0010270F" w:rsidRPr="0010270F" w:rsidRDefault="0010270F" w:rsidP="0010270F">
      <w:pPr>
        <w:pStyle w:val="a6"/>
        <w:rPr>
          <w:rFonts w:ascii="Times New Roman" w:hAnsi="Times New Roman"/>
        </w:rPr>
      </w:pPr>
      <w:r w:rsidRPr="0010270F">
        <w:rPr>
          <w:rFonts w:ascii="Times New Roman" w:hAnsi="Times New Roman"/>
        </w:rPr>
        <w:t xml:space="preserve">© 2018 г. </w:t>
      </w:r>
      <w:r w:rsidRPr="0010270F">
        <w:rPr>
          <w:rFonts w:ascii="Times New Roman" w:hAnsi="Times New Roman"/>
          <w:vertAlign w:val="superscript"/>
        </w:rPr>
        <w:t>1,2</w:t>
      </w:r>
      <w:r w:rsidRPr="0010270F">
        <w:rPr>
          <w:rFonts w:ascii="Times New Roman" w:hAnsi="Times New Roman"/>
        </w:rPr>
        <w:t xml:space="preserve">Д. М. </w:t>
      </w:r>
      <w:proofErr w:type="spellStart"/>
      <w:r w:rsidRPr="0010270F">
        <w:rPr>
          <w:rFonts w:ascii="Times New Roman" w:hAnsi="Times New Roman"/>
        </w:rPr>
        <w:t>Дубовиченко</w:t>
      </w:r>
      <w:proofErr w:type="spellEnd"/>
      <w:r w:rsidRPr="0010270F">
        <w:rPr>
          <w:rFonts w:ascii="Times New Roman" w:hAnsi="Times New Roman"/>
        </w:rPr>
        <w:t xml:space="preserve">, </w:t>
      </w:r>
      <w:r w:rsidRPr="0010270F">
        <w:rPr>
          <w:rFonts w:ascii="Times New Roman" w:hAnsi="Times New Roman"/>
          <w:vertAlign w:val="superscript"/>
        </w:rPr>
        <w:t>1,2</w:t>
      </w:r>
      <w:r w:rsidRPr="0010270F">
        <w:rPr>
          <w:rFonts w:ascii="Times New Roman" w:hAnsi="Times New Roman"/>
        </w:rPr>
        <w:t xml:space="preserve">М. Ю. Вальков </w:t>
      </w:r>
    </w:p>
    <w:p w:rsidR="0010270F" w:rsidRPr="0010270F" w:rsidRDefault="0010270F" w:rsidP="0010270F">
      <w:pPr>
        <w:pStyle w:val="a7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w w:val="100"/>
          <w:sz w:val="24"/>
          <w:vertAlign w:val="superscript"/>
        </w:rPr>
        <w:t xml:space="preserve">1 </w:t>
      </w:r>
      <w:r w:rsidRPr="0010270F">
        <w:rPr>
          <w:rFonts w:ascii="Times New Roman" w:hAnsi="Times New Roman"/>
          <w:w w:val="100"/>
          <w:sz w:val="24"/>
        </w:rPr>
        <w:t xml:space="preserve">ГБУЗ Архангельской области «Архангельский клинический онкологический диспансер», г. Архангельск; </w:t>
      </w:r>
      <w:r w:rsidRPr="0010270F">
        <w:rPr>
          <w:rFonts w:ascii="Times New Roman" w:hAnsi="Times New Roman"/>
          <w:w w:val="100"/>
          <w:sz w:val="24"/>
        </w:rPr>
        <w:br/>
      </w:r>
      <w:r w:rsidRPr="0010270F">
        <w:rPr>
          <w:rFonts w:ascii="Times New Roman" w:hAnsi="Times New Roman"/>
          <w:w w:val="100"/>
          <w:sz w:val="24"/>
          <w:vertAlign w:val="superscript"/>
        </w:rPr>
        <w:t>2</w:t>
      </w:r>
      <w:r w:rsidRPr="0010270F">
        <w:rPr>
          <w:rFonts w:ascii="Times New Roman" w:hAnsi="Times New Roman"/>
          <w:w w:val="100"/>
          <w:sz w:val="24"/>
        </w:rPr>
        <w:t xml:space="preserve">ФГБОУ </w:t>
      </w:r>
      <w:proofErr w:type="gramStart"/>
      <w:r w:rsidRPr="0010270F">
        <w:rPr>
          <w:rFonts w:ascii="Times New Roman" w:hAnsi="Times New Roman"/>
          <w:w w:val="100"/>
          <w:sz w:val="24"/>
        </w:rPr>
        <w:t>ВО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«Северный государственный медицинский университет» Министерства здравоохранения РФ, </w:t>
      </w:r>
      <w:r w:rsidRPr="0010270F">
        <w:rPr>
          <w:rFonts w:ascii="Times New Roman" w:hAnsi="Times New Roman"/>
          <w:w w:val="100"/>
          <w:sz w:val="24"/>
        </w:rPr>
        <w:br/>
        <w:t>г. Архангельск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i/>
          <w:iCs/>
          <w:w w:val="100"/>
          <w:sz w:val="24"/>
        </w:rPr>
        <w:t>Цель.</w:t>
      </w:r>
      <w:r w:rsidRPr="0010270F">
        <w:rPr>
          <w:rFonts w:ascii="Times New Roman" w:hAnsi="Times New Roman"/>
          <w:w w:val="100"/>
          <w:sz w:val="24"/>
        </w:rPr>
        <w:t xml:space="preserve"> Оценка динамики и структуры эпидемиологических показателей (заболеваемость и смертность) при раке прямой кишки (РПК) в период с 2000 по 2015 г. по данным Архангельского областного </w:t>
      </w:r>
      <w:proofErr w:type="spellStart"/>
      <w:r w:rsidRPr="0010270F">
        <w:rPr>
          <w:rFonts w:ascii="Times New Roman" w:hAnsi="Times New Roman"/>
          <w:w w:val="100"/>
          <w:sz w:val="24"/>
        </w:rPr>
        <w:t>канцер­регистра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</w:t>
      </w:r>
      <w:r w:rsidRPr="0010270F">
        <w:rPr>
          <w:rFonts w:ascii="Times New Roman" w:hAnsi="Times New Roman"/>
          <w:i/>
          <w:iCs/>
          <w:w w:val="100"/>
          <w:sz w:val="24"/>
        </w:rPr>
        <w:t>Методы.</w:t>
      </w:r>
      <w:r w:rsidRPr="0010270F">
        <w:rPr>
          <w:rFonts w:ascii="Times New Roman" w:hAnsi="Times New Roman"/>
          <w:w w:val="100"/>
          <w:sz w:val="24"/>
        </w:rPr>
        <w:t xml:space="preserve"> В выборку вошел 3 721 первичный случай РПК в Архангельской области за период с 2000 по 2015 г. Для оценки показателей смертности отобраны 2 187 случаев смерти от РПК за 2005–2015 гг. Рассчитаны стандартизованные по мировому возрастному стандарту показатели заболеваемости и смертности. Данные о численности и возрастном составе населения области получены в </w:t>
      </w:r>
      <w:r w:rsidRPr="0010270F">
        <w:rPr>
          <w:rFonts w:ascii="Times New Roman" w:hAnsi="Times New Roman"/>
          <w:w w:val="100"/>
          <w:sz w:val="24"/>
        </w:rPr>
        <w:lastRenderedPageBreak/>
        <w:t xml:space="preserve">региональном бюро </w:t>
      </w:r>
      <w:proofErr w:type="spellStart"/>
      <w:r w:rsidRPr="0010270F">
        <w:rPr>
          <w:rFonts w:ascii="Times New Roman" w:hAnsi="Times New Roman"/>
          <w:w w:val="100"/>
          <w:sz w:val="24"/>
        </w:rPr>
        <w:t>Архангельскстат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. Анализ временных трендов проведен с помощью сегментированной регрессии. </w:t>
      </w:r>
      <w:r w:rsidRPr="0010270F">
        <w:rPr>
          <w:rFonts w:ascii="Times New Roman" w:hAnsi="Times New Roman"/>
          <w:i/>
          <w:iCs/>
          <w:w w:val="100"/>
          <w:sz w:val="24"/>
        </w:rPr>
        <w:t>Результаты.</w:t>
      </w:r>
      <w:r w:rsidRPr="0010270F">
        <w:rPr>
          <w:rFonts w:ascii="Times New Roman" w:hAnsi="Times New Roman"/>
          <w:w w:val="100"/>
          <w:sz w:val="24"/>
        </w:rPr>
        <w:t xml:space="preserve"> Заболеваемость РПК в регионе возросла с 11,5 до 14,2 на 100 тыс. населения; в 2015 г. 18,6 против 11,8 на 100 тыс. у мужчин и женщин соответственно, обнаружено значимое изменение тренда – с 2011 г. у женщин он возрастал </w:t>
      </w:r>
      <w:proofErr w:type="gramStart"/>
      <w:r w:rsidRPr="0010270F">
        <w:rPr>
          <w:rFonts w:ascii="Times New Roman" w:hAnsi="Times New Roman"/>
          <w:w w:val="100"/>
          <w:sz w:val="24"/>
        </w:rPr>
        <w:t>на</w:t>
      </w:r>
      <w:proofErr w:type="gramEnd"/>
      <w:r w:rsidRPr="0010270F">
        <w:rPr>
          <w:rFonts w:ascii="Times New Roman" w:hAnsi="Times New Roman"/>
          <w:w w:val="100"/>
          <w:sz w:val="24"/>
        </w:rPr>
        <w:t xml:space="preserve"> 4,6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в год. Заболеваемость городского и сельского населения росла, в 2015 г. составив 11,8 и 18,7 на 100 тыс. соответственно. Стандартизованные по возрасту показатели (СВП) смертности от РПК варьировали от 10,0 до 12,2 на 100 тыс. в исследуемый период. В 2015 г. смертность мужского населения от РПК составила 19,9 против 8,4 на 100 тыс. у женщин. Тренд СВП смертности мужского населения с 2011 г. возрастал на 6,5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>% в год, женского – на 0,7</w:t>
      </w:r>
      <w:r w:rsidRPr="0010270F">
        <w:rPr>
          <w:rFonts w:ascii="Times New Roman"/>
          <w:w w:val="100"/>
          <w:sz w:val="24"/>
        </w:rPr>
        <w:t> </w:t>
      </w:r>
      <w:r w:rsidRPr="0010270F">
        <w:rPr>
          <w:rFonts w:ascii="Times New Roman" w:hAnsi="Times New Roman"/>
          <w:w w:val="100"/>
          <w:sz w:val="24"/>
        </w:rPr>
        <w:t xml:space="preserve">% в год с 2009 по 2015­й. </w:t>
      </w:r>
      <w:r w:rsidRPr="0010270F">
        <w:rPr>
          <w:rFonts w:ascii="Times New Roman" w:hAnsi="Times New Roman"/>
          <w:i/>
          <w:iCs/>
          <w:w w:val="100"/>
          <w:sz w:val="24"/>
        </w:rPr>
        <w:t>Заключение.</w:t>
      </w:r>
      <w:r w:rsidRPr="0010270F">
        <w:rPr>
          <w:rFonts w:ascii="Times New Roman" w:hAnsi="Times New Roman"/>
          <w:w w:val="100"/>
          <w:sz w:val="24"/>
        </w:rPr>
        <w:t xml:space="preserve"> Эпидемиологическая модель при РПК в Архангельской области характеризуется растущими показателями заболеваемости и смертности и отличается от таковой в развитых странах. Более высокие показатели заболеваемости и смертности среди мужчин и сельского населения требуют дальнейшего изучения.</w:t>
      </w:r>
    </w:p>
    <w:p w:rsidR="0010270F" w:rsidRPr="0010270F" w:rsidRDefault="0010270F" w:rsidP="0010270F">
      <w:pPr>
        <w:pStyle w:val="a8"/>
        <w:rPr>
          <w:rFonts w:ascii="Times New Roman" w:hAnsi="Times New Roman"/>
          <w:w w:val="100"/>
          <w:sz w:val="24"/>
        </w:rPr>
      </w:pPr>
      <w:r w:rsidRPr="0010270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0270F">
        <w:rPr>
          <w:rFonts w:ascii="Times New Roman" w:hAnsi="Times New Roman"/>
          <w:w w:val="100"/>
          <w:sz w:val="24"/>
        </w:rPr>
        <w:t xml:space="preserve"> рак прямой кишки, </w:t>
      </w:r>
      <w:proofErr w:type="spellStart"/>
      <w:r w:rsidRPr="0010270F">
        <w:rPr>
          <w:rFonts w:ascii="Times New Roman" w:hAnsi="Times New Roman"/>
          <w:w w:val="100"/>
          <w:sz w:val="24"/>
        </w:rPr>
        <w:t>канцер­регистр</w:t>
      </w:r>
      <w:proofErr w:type="spellEnd"/>
      <w:r w:rsidRPr="0010270F">
        <w:rPr>
          <w:rFonts w:ascii="Times New Roman" w:hAnsi="Times New Roman"/>
          <w:w w:val="100"/>
          <w:sz w:val="24"/>
        </w:rPr>
        <w:t xml:space="preserve">, заболеваемость, смертность </w:t>
      </w:r>
    </w:p>
    <w:p w:rsidR="0010270F" w:rsidRPr="0010270F" w:rsidRDefault="0010270F" w:rsidP="0010270F">
      <w:pPr>
        <w:pStyle w:val="a3"/>
        <w:rPr>
          <w:rFonts w:ascii="Times New Roman" w:hAnsi="Times New Roman"/>
          <w:sz w:val="24"/>
        </w:rPr>
      </w:pPr>
    </w:p>
    <w:p w:rsidR="0010270F" w:rsidRPr="0010270F" w:rsidRDefault="0010270F" w:rsidP="0010270F">
      <w:pPr>
        <w:rPr>
          <w:rFonts w:ascii="Times New Roman" w:hAnsi="Times New Roman"/>
          <w:sz w:val="24"/>
        </w:rPr>
      </w:pPr>
    </w:p>
    <w:sectPr w:rsidR="0010270F" w:rsidRPr="0010270F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0F"/>
    <w:rsid w:val="0003027B"/>
    <w:rsid w:val="00097EF3"/>
    <w:rsid w:val="0010270F"/>
    <w:rsid w:val="002E23EE"/>
    <w:rsid w:val="005A26E2"/>
    <w:rsid w:val="00B2646E"/>
    <w:rsid w:val="00E06CF1"/>
    <w:rsid w:val="00E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10270F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10270F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10270F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10270F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10270F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10270F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10270F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10270F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10270F"/>
    <w:rPr>
      <w:sz w:val="18"/>
      <w:szCs w:val="18"/>
    </w:rPr>
  </w:style>
  <w:style w:type="character" w:styleId="ac">
    <w:name w:val="Hyperlink"/>
    <w:basedOn w:val="a0"/>
    <w:uiPriority w:val="99"/>
    <w:unhideWhenUsed/>
    <w:rsid w:val="00102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3301</Words>
  <Characters>18817</Characters>
  <Application>Microsoft Office Word</Application>
  <DocSecurity>0</DocSecurity>
  <Lines>156</Lines>
  <Paragraphs>44</Paragraphs>
  <ScaleCrop>false</ScaleCrop>
  <Company>NSMU</Company>
  <LinksUpToDate>false</LinksUpToDate>
  <CharactersWithSpaces>22074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ustinovaoa</cp:lastModifiedBy>
  <cp:revision>3</cp:revision>
  <dcterms:created xsi:type="dcterms:W3CDTF">2018-05-11T07:47:00Z</dcterms:created>
  <dcterms:modified xsi:type="dcterms:W3CDTF">2018-05-16T11:35:00Z</dcterms:modified>
</cp:coreProperties>
</file>